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E05E" w14:textId="77777777" w:rsidR="00FD4256" w:rsidRPr="00C0506E" w:rsidRDefault="00FD4256" w:rsidP="0024232D">
      <w:pPr>
        <w:spacing w:after="0"/>
        <w:jc w:val="center"/>
        <w:rPr>
          <w:rFonts w:ascii="Arial" w:hAnsi="Arial" w:cs="Arial"/>
          <w:b/>
          <w:color w:val="000000" w:themeColor="text1"/>
          <w:sz w:val="24"/>
          <w:szCs w:val="24"/>
        </w:rPr>
      </w:pPr>
    </w:p>
    <w:p w14:paraId="5E7642E0" w14:textId="77777777" w:rsidR="0024232D" w:rsidRPr="00C0506E" w:rsidRDefault="0024232D" w:rsidP="0024232D">
      <w:pPr>
        <w:spacing w:after="0"/>
        <w:jc w:val="center"/>
        <w:rPr>
          <w:rFonts w:ascii="Arial" w:hAnsi="Arial" w:cs="Arial"/>
          <w:b/>
          <w:color w:val="000000" w:themeColor="text1"/>
          <w:sz w:val="24"/>
          <w:szCs w:val="24"/>
        </w:rPr>
      </w:pPr>
    </w:p>
    <w:p w14:paraId="79F06536" w14:textId="77777777" w:rsidR="0024232D" w:rsidRPr="00C0506E" w:rsidRDefault="00D95D9C" w:rsidP="0024232D">
      <w:pPr>
        <w:spacing w:after="0"/>
        <w:jc w:val="center"/>
        <w:rPr>
          <w:rFonts w:ascii="Arial" w:hAnsi="Arial" w:cs="Arial"/>
          <w:b/>
          <w:color w:val="000000" w:themeColor="text1"/>
          <w:sz w:val="24"/>
          <w:szCs w:val="24"/>
        </w:rPr>
      </w:pPr>
      <w:r w:rsidRPr="00C0506E">
        <w:rPr>
          <w:rFonts w:ascii="Arial" w:hAnsi="Arial" w:cs="Arial"/>
          <w:b/>
          <w:color w:val="000000" w:themeColor="text1"/>
          <w:sz w:val="24"/>
          <w:szCs w:val="24"/>
        </w:rPr>
        <w:t>INSTITUCIÓN UNIVERSITARIA PASCUAL BRAVO</w:t>
      </w:r>
    </w:p>
    <w:p w14:paraId="1667C0A8" w14:textId="77777777" w:rsidR="0024232D" w:rsidRPr="00C0506E" w:rsidRDefault="0024232D" w:rsidP="0024232D">
      <w:pPr>
        <w:spacing w:after="0"/>
        <w:jc w:val="center"/>
        <w:rPr>
          <w:rFonts w:ascii="Arial" w:hAnsi="Arial" w:cs="Arial"/>
          <w:b/>
          <w:color w:val="000000" w:themeColor="text1"/>
          <w:sz w:val="24"/>
          <w:szCs w:val="24"/>
        </w:rPr>
      </w:pPr>
    </w:p>
    <w:p w14:paraId="2556A036" w14:textId="77777777" w:rsidR="0024232D" w:rsidRPr="00C0506E" w:rsidRDefault="0024232D" w:rsidP="0024232D">
      <w:pPr>
        <w:spacing w:after="0"/>
        <w:jc w:val="center"/>
        <w:rPr>
          <w:rFonts w:ascii="Arial" w:hAnsi="Arial" w:cs="Arial"/>
          <w:b/>
          <w:color w:val="000000" w:themeColor="text1"/>
          <w:sz w:val="24"/>
          <w:szCs w:val="24"/>
        </w:rPr>
      </w:pPr>
    </w:p>
    <w:p w14:paraId="074CED6B" w14:textId="77777777" w:rsidR="0024232D" w:rsidRPr="00C0506E" w:rsidRDefault="0024232D" w:rsidP="0024232D">
      <w:pPr>
        <w:spacing w:after="0"/>
        <w:jc w:val="center"/>
        <w:rPr>
          <w:rFonts w:ascii="Arial" w:hAnsi="Arial" w:cs="Arial"/>
          <w:b/>
          <w:color w:val="000000" w:themeColor="text1"/>
          <w:sz w:val="24"/>
          <w:szCs w:val="24"/>
        </w:rPr>
      </w:pPr>
    </w:p>
    <w:p w14:paraId="2D3CE562" w14:textId="77777777" w:rsidR="0024232D" w:rsidRPr="00C0506E" w:rsidRDefault="0024232D" w:rsidP="0024232D">
      <w:pPr>
        <w:spacing w:after="0"/>
        <w:jc w:val="center"/>
        <w:rPr>
          <w:rFonts w:ascii="Arial" w:hAnsi="Arial" w:cs="Arial"/>
          <w:b/>
          <w:color w:val="000000" w:themeColor="text1"/>
          <w:sz w:val="24"/>
          <w:szCs w:val="24"/>
        </w:rPr>
      </w:pPr>
    </w:p>
    <w:p w14:paraId="1438AD55" w14:textId="77777777" w:rsidR="0024232D" w:rsidRPr="00C0506E" w:rsidRDefault="0024232D" w:rsidP="0024232D">
      <w:pPr>
        <w:spacing w:after="0"/>
        <w:jc w:val="center"/>
        <w:rPr>
          <w:rFonts w:ascii="Arial" w:hAnsi="Arial" w:cs="Arial"/>
          <w:b/>
          <w:color w:val="000000" w:themeColor="text1"/>
          <w:sz w:val="24"/>
          <w:szCs w:val="24"/>
        </w:rPr>
      </w:pPr>
    </w:p>
    <w:p w14:paraId="5D5E495A" w14:textId="77777777" w:rsidR="0024232D" w:rsidRPr="00C0506E" w:rsidRDefault="0024232D" w:rsidP="0024232D">
      <w:pPr>
        <w:spacing w:after="0"/>
        <w:jc w:val="center"/>
        <w:rPr>
          <w:rFonts w:ascii="Arial" w:hAnsi="Arial" w:cs="Arial"/>
          <w:b/>
          <w:color w:val="000000" w:themeColor="text1"/>
          <w:sz w:val="24"/>
          <w:szCs w:val="24"/>
        </w:rPr>
      </w:pPr>
    </w:p>
    <w:p w14:paraId="0530F9BC" w14:textId="77777777" w:rsidR="0024232D" w:rsidRPr="00C0506E" w:rsidRDefault="0024232D" w:rsidP="0024232D">
      <w:pPr>
        <w:spacing w:after="0"/>
        <w:jc w:val="center"/>
        <w:rPr>
          <w:rFonts w:ascii="Arial" w:hAnsi="Arial" w:cs="Arial"/>
          <w:b/>
          <w:color w:val="000000" w:themeColor="text1"/>
          <w:sz w:val="24"/>
          <w:szCs w:val="24"/>
        </w:rPr>
      </w:pPr>
    </w:p>
    <w:p w14:paraId="2AB1CEFE" w14:textId="54EF4CF4" w:rsidR="0024232D" w:rsidRPr="00C0506E" w:rsidRDefault="00370D08" w:rsidP="0024232D">
      <w:pPr>
        <w:spacing w:after="0"/>
        <w:jc w:val="center"/>
        <w:rPr>
          <w:rFonts w:ascii="Arial" w:hAnsi="Arial" w:cs="Arial"/>
          <w:b/>
          <w:color w:val="000000" w:themeColor="text1"/>
          <w:sz w:val="24"/>
          <w:szCs w:val="24"/>
        </w:rPr>
      </w:pPr>
      <w:r w:rsidRPr="00C0506E">
        <w:rPr>
          <w:rFonts w:ascii="Arial" w:hAnsi="Arial" w:cs="Arial"/>
          <w:b/>
          <w:color w:val="000000" w:themeColor="text1"/>
          <w:sz w:val="24"/>
          <w:szCs w:val="24"/>
        </w:rPr>
        <w:t>INFORME DE LEY SEGUIMIENTO A LA PUBLICACIÓN DEL SECOP, PAA Y GESTIÓN TRANSPARENTE PRIMER SEMESTRE 2025</w:t>
      </w:r>
    </w:p>
    <w:p w14:paraId="025EB241" w14:textId="77777777" w:rsidR="0024232D" w:rsidRPr="00C0506E" w:rsidRDefault="0024232D" w:rsidP="0024232D">
      <w:pPr>
        <w:spacing w:after="0"/>
        <w:jc w:val="center"/>
        <w:rPr>
          <w:rFonts w:ascii="Arial" w:hAnsi="Arial" w:cs="Arial"/>
          <w:b/>
          <w:color w:val="000000" w:themeColor="text1"/>
          <w:sz w:val="24"/>
          <w:szCs w:val="24"/>
        </w:rPr>
      </w:pPr>
    </w:p>
    <w:p w14:paraId="05E92223" w14:textId="77777777" w:rsidR="0024232D" w:rsidRPr="00C0506E" w:rsidRDefault="0024232D" w:rsidP="0024232D">
      <w:pPr>
        <w:spacing w:after="0"/>
        <w:jc w:val="center"/>
        <w:rPr>
          <w:rFonts w:ascii="Arial" w:hAnsi="Arial" w:cs="Arial"/>
          <w:b/>
          <w:color w:val="000000" w:themeColor="text1"/>
          <w:sz w:val="24"/>
          <w:szCs w:val="24"/>
        </w:rPr>
      </w:pPr>
    </w:p>
    <w:p w14:paraId="5BCF46DF" w14:textId="77777777" w:rsidR="0024232D" w:rsidRPr="00C0506E" w:rsidRDefault="0024232D" w:rsidP="0024232D">
      <w:pPr>
        <w:spacing w:after="0"/>
        <w:jc w:val="center"/>
        <w:rPr>
          <w:rFonts w:ascii="Arial" w:hAnsi="Arial" w:cs="Arial"/>
          <w:b/>
          <w:color w:val="000000" w:themeColor="text1"/>
          <w:sz w:val="24"/>
          <w:szCs w:val="24"/>
        </w:rPr>
      </w:pPr>
    </w:p>
    <w:p w14:paraId="39DEC5A6" w14:textId="77777777" w:rsidR="0024232D" w:rsidRPr="00C0506E" w:rsidRDefault="0024232D" w:rsidP="003A1C14">
      <w:pPr>
        <w:spacing w:after="0"/>
        <w:rPr>
          <w:rFonts w:ascii="Arial" w:hAnsi="Arial" w:cs="Arial"/>
          <w:b/>
          <w:color w:val="000000" w:themeColor="text1"/>
          <w:sz w:val="24"/>
          <w:szCs w:val="24"/>
        </w:rPr>
      </w:pPr>
    </w:p>
    <w:p w14:paraId="32514A65" w14:textId="77777777" w:rsidR="0024232D" w:rsidRPr="00C0506E" w:rsidRDefault="0024232D" w:rsidP="0024232D">
      <w:pPr>
        <w:spacing w:after="0"/>
        <w:jc w:val="center"/>
        <w:rPr>
          <w:rFonts w:ascii="Arial" w:hAnsi="Arial" w:cs="Arial"/>
          <w:b/>
          <w:color w:val="000000" w:themeColor="text1"/>
          <w:sz w:val="24"/>
          <w:szCs w:val="24"/>
        </w:rPr>
      </w:pPr>
    </w:p>
    <w:p w14:paraId="7089AD2C" w14:textId="69E53A9A" w:rsidR="0075488D" w:rsidRPr="00C0506E" w:rsidRDefault="0075488D" w:rsidP="0075488D">
      <w:pPr>
        <w:spacing w:after="0"/>
        <w:jc w:val="center"/>
        <w:rPr>
          <w:rFonts w:ascii="Arial" w:hAnsi="Arial" w:cs="Arial"/>
          <w:b/>
          <w:color w:val="000000" w:themeColor="text1"/>
          <w:sz w:val="24"/>
          <w:szCs w:val="24"/>
        </w:rPr>
      </w:pPr>
      <w:r w:rsidRPr="00C0506E">
        <w:rPr>
          <w:rFonts w:ascii="Arial" w:hAnsi="Arial" w:cs="Arial"/>
          <w:b/>
          <w:color w:val="000000" w:themeColor="text1"/>
          <w:sz w:val="24"/>
          <w:szCs w:val="24"/>
        </w:rPr>
        <w:t>WILLIAM ECHAVARRÍA LOTERO</w:t>
      </w:r>
    </w:p>
    <w:p w14:paraId="56FDBB04" w14:textId="6E85DD52" w:rsidR="0024232D" w:rsidRPr="00C0506E" w:rsidRDefault="0075488D" w:rsidP="0075488D">
      <w:pPr>
        <w:spacing w:after="0"/>
        <w:jc w:val="center"/>
        <w:rPr>
          <w:rFonts w:ascii="Arial" w:hAnsi="Arial" w:cs="Arial"/>
          <w:b/>
          <w:color w:val="000000" w:themeColor="text1"/>
          <w:sz w:val="24"/>
          <w:szCs w:val="24"/>
        </w:rPr>
      </w:pPr>
      <w:r w:rsidRPr="00C0506E">
        <w:rPr>
          <w:rFonts w:ascii="Arial" w:hAnsi="Arial" w:cs="Arial"/>
          <w:b/>
          <w:color w:val="000000" w:themeColor="text1"/>
          <w:sz w:val="24"/>
          <w:szCs w:val="24"/>
        </w:rPr>
        <w:t xml:space="preserve">JEFE </w:t>
      </w:r>
      <w:r w:rsidR="002516DE">
        <w:rPr>
          <w:rFonts w:ascii="Arial" w:hAnsi="Arial" w:cs="Arial"/>
          <w:b/>
          <w:color w:val="000000" w:themeColor="text1"/>
          <w:sz w:val="24"/>
          <w:szCs w:val="24"/>
        </w:rPr>
        <w:t>DE LA DIRECCIÒN</w:t>
      </w:r>
      <w:r w:rsidRPr="00C0506E">
        <w:rPr>
          <w:rFonts w:ascii="Arial" w:hAnsi="Arial" w:cs="Arial"/>
          <w:b/>
          <w:color w:val="000000" w:themeColor="text1"/>
          <w:sz w:val="24"/>
          <w:szCs w:val="24"/>
        </w:rPr>
        <w:t xml:space="preserve"> DE EVALUACION Y CONTROL</w:t>
      </w:r>
    </w:p>
    <w:p w14:paraId="5EFC795E" w14:textId="77777777" w:rsidR="0024232D" w:rsidRPr="00C0506E" w:rsidRDefault="0024232D" w:rsidP="0024232D">
      <w:pPr>
        <w:spacing w:after="0"/>
        <w:jc w:val="center"/>
        <w:rPr>
          <w:rFonts w:ascii="Arial" w:hAnsi="Arial" w:cs="Arial"/>
          <w:b/>
          <w:color w:val="000000" w:themeColor="text1"/>
          <w:sz w:val="24"/>
          <w:szCs w:val="24"/>
        </w:rPr>
      </w:pPr>
    </w:p>
    <w:p w14:paraId="16C90117" w14:textId="77777777" w:rsidR="0024232D" w:rsidRPr="00C0506E" w:rsidRDefault="0024232D" w:rsidP="0024232D">
      <w:pPr>
        <w:spacing w:after="0"/>
        <w:jc w:val="center"/>
        <w:rPr>
          <w:rFonts w:ascii="Arial" w:hAnsi="Arial" w:cs="Arial"/>
          <w:b/>
          <w:color w:val="000000" w:themeColor="text1"/>
          <w:sz w:val="24"/>
          <w:szCs w:val="24"/>
        </w:rPr>
      </w:pPr>
    </w:p>
    <w:p w14:paraId="383B7F16" w14:textId="77777777" w:rsidR="0024232D" w:rsidRPr="00C0506E" w:rsidRDefault="0024232D" w:rsidP="0024232D">
      <w:pPr>
        <w:spacing w:after="0"/>
        <w:jc w:val="center"/>
        <w:rPr>
          <w:rFonts w:ascii="Arial" w:hAnsi="Arial" w:cs="Arial"/>
          <w:b/>
          <w:color w:val="000000" w:themeColor="text1"/>
          <w:sz w:val="24"/>
          <w:szCs w:val="24"/>
        </w:rPr>
      </w:pPr>
    </w:p>
    <w:p w14:paraId="5D873D84" w14:textId="77777777" w:rsidR="0024232D" w:rsidRPr="00C0506E" w:rsidRDefault="0024232D" w:rsidP="0024232D">
      <w:pPr>
        <w:spacing w:after="0"/>
        <w:jc w:val="center"/>
        <w:rPr>
          <w:rFonts w:ascii="Arial" w:hAnsi="Arial" w:cs="Arial"/>
          <w:b/>
          <w:color w:val="000000" w:themeColor="text1"/>
          <w:sz w:val="24"/>
          <w:szCs w:val="24"/>
        </w:rPr>
      </w:pPr>
    </w:p>
    <w:p w14:paraId="284FD895" w14:textId="77777777" w:rsidR="0024232D" w:rsidRPr="00C0506E" w:rsidRDefault="0024232D" w:rsidP="0024232D">
      <w:pPr>
        <w:spacing w:after="0"/>
        <w:jc w:val="center"/>
        <w:rPr>
          <w:rFonts w:ascii="Arial" w:hAnsi="Arial" w:cs="Arial"/>
          <w:b/>
          <w:color w:val="000000" w:themeColor="text1"/>
          <w:sz w:val="24"/>
          <w:szCs w:val="24"/>
        </w:rPr>
      </w:pPr>
    </w:p>
    <w:p w14:paraId="1A3487A0" w14:textId="77777777" w:rsidR="0024232D" w:rsidRPr="00C0506E" w:rsidRDefault="0024232D" w:rsidP="003A1C14">
      <w:pPr>
        <w:spacing w:after="0"/>
        <w:rPr>
          <w:rFonts w:ascii="Arial" w:hAnsi="Arial" w:cs="Arial"/>
          <w:b/>
          <w:color w:val="000000" w:themeColor="text1"/>
          <w:sz w:val="24"/>
          <w:szCs w:val="24"/>
        </w:rPr>
      </w:pPr>
    </w:p>
    <w:p w14:paraId="0A80EC08" w14:textId="77777777" w:rsidR="0075488D" w:rsidRPr="00C0506E" w:rsidRDefault="0075488D" w:rsidP="0075488D">
      <w:pPr>
        <w:spacing w:after="0"/>
        <w:jc w:val="center"/>
        <w:rPr>
          <w:rFonts w:ascii="Arial" w:hAnsi="Arial" w:cs="Arial"/>
          <w:b/>
          <w:color w:val="000000" w:themeColor="text1"/>
          <w:sz w:val="24"/>
          <w:szCs w:val="24"/>
          <w:lang w:val="es-ES"/>
        </w:rPr>
      </w:pPr>
      <w:r w:rsidRPr="00C0506E">
        <w:rPr>
          <w:rFonts w:ascii="Arial" w:hAnsi="Arial" w:cs="Arial"/>
          <w:b/>
          <w:color w:val="000000" w:themeColor="text1"/>
          <w:sz w:val="24"/>
          <w:szCs w:val="24"/>
          <w:lang w:val="es-ES"/>
        </w:rPr>
        <w:t>MEDELLÍN 2025</w:t>
      </w:r>
    </w:p>
    <w:p w14:paraId="7E556EDF" w14:textId="40DA54B7" w:rsidR="003B5BEB" w:rsidRPr="00C0506E" w:rsidRDefault="003B5BEB" w:rsidP="0024232D">
      <w:pPr>
        <w:spacing w:after="0"/>
        <w:jc w:val="center"/>
        <w:rPr>
          <w:rFonts w:ascii="Arial" w:hAnsi="Arial" w:cs="Arial"/>
          <w:b/>
          <w:color w:val="000000" w:themeColor="text1"/>
          <w:sz w:val="24"/>
          <w:szCs w:val="24"/>
        </w:rPr>
      </w:pPr>
    </w:p>
    <w:p w14:paraId="2E8B5753" w14:textId="77777777" w:rsidR="0024232D" w:rsidRPr="00C0506E" w:rsidRDefault="0024232D" w:rsidP="0024232D">
      <w:pPr>
        <w:spacing w:after="0"/>
        <w:jc w:val="center"/>
        <w:rPr>
          <w:rFonts w:ascii="Arial" w:hAnsi="Arial" w:cs="Arial"/>
          <w:b/>
          <w:color w:val="000000" w:themeColor="text1"/>
          <w:sz w:val="24"/>
          <w:szCs w:val="24"/>
        </w:rPr>
      </w:pPr>
    </w:p>
    <w:p w14:paraId="32A1DDCD" w14:textId="77777777" w:rsidR="00AA4F53" w:rsidRPr="00C0506E" w:rsidRDefault="00AA4F53">
      <w:pPr>
        <w:rPr>
          <w:rFonts w:ascii="Arial" w:hAnsi="Arial" w:cs="Arial"/>
          <w:sz w:val="24"/>
          <w:szCs w:val="24"/>
        </w:rPr>
      </w:pPr>
    </w:p>
    <w:p w14:paraId="63E38EC7" w14:textId="77777777" w:rsidR="00370D08" w:rsidRPr="00C0506E" w:rsidRDefault="00370D08">
      <w:pPr>
        <w:rPr>
          <w:rFonts w:ascii="Arial" w:hAnsi="Arial" w:cs="Arial"/>
          <w:sz w:val="24"/>
          <w:szCs w:val="24"/>
        </w:rPr>
      </w:pPr>
    </w:p>
    <w:p w14:paraId="30DF89E7" w14:textId="77777777" w:rsidR="00370D08" w:rsidRPr="00C0506E" w:rsidRDefault="00370D08">
      <w:pPr>
        <w:rPr>
          <w:rFonts w:ascii="Arial" w:hAnsi="Arial" w:cs="Arial"/>
          <w:sz w:val="24"/>
          <w:szCs w:val="24"/>
        </w:rPr>
      </w:pPr>
    </w:p>
    <w:p w14:paraId="06C6C25D" w14:textId="77777777" w:rsidR="003A1C14" w:rsidRPr="00C0506E" w:rsidRDefault="003A1C14">
      <w:pPr>
        <w:rPr>
          <w:rFonts w:ascii="Arial" w:hAnsi="Arial" w:cs="Arial"/>
          <w:sz w:val="24"/>
          <w:szCs w:val="24"/>
        </w:rPr>
      </w:pPr>
    </w:p>
    <w:p w14:paraId="121B28CE" w14:textId="77777777" w:rsidR="003A1C14" w:rsidRPr="00C0506E" w:rsidRDefault="003A1C14">
      <w:pPr>
        <w:rPr>
          <w:rFonts w:ascii="Arial" w:hAnsi="Arial" w:cs="Arial"/>
          <w:sz w:val="24"/>
          <w:szCs w:val="24"/>
        </w:rPr>
      </w:pPr>
    </w:p>
    <w:p w14:paraId="36F91119" w14:textId="77777777" w:rsidR="0024232D" w:rsidRPr="00C0506E" w:rsidRDefault="00E21F24" w:rsidP="00E21F24">
      <w:pPr>
        <w:jc w:val="center"/>
        <w:rPr>
          <w:rFonts w:ascii="Arial" w:hAnsi="Arial" w:cs="Arial"/>
          <w:b/>
          <w:sz w:val="24"/>
          <w:szCs w:val="24"/>
        </w:rPr>
      </w:pPr>
      <w:r w:rsidRPr="00C0506E">
        <w:rPr>
          <w:rFonts w:ascii="Arial" w:hAnsi="Arial" w:cs="Arial"/>
          <w:b/>
          <w:sz w:val="24"/>
          <w:szCs w:val="24"/>
        </w:rPr>
        <w:t>TABLA DE CONTENIDO</w:t>
      </w:r>
    </w:p>
    <w:p w14:paraId="0C11B0A5" w14:textId="77777777" w:rsidR="00790F49" w:rsidRPr="00C0506E" w:rsidRDefault="003B5BEB" w:rsidP="00790F49">
      <w:pPr>
        <w:pStyle w:val="Prrafodelista"/>
        <w:numPr>
          <w:ilvl w:val="0"/>
          <w:numId w:val="3"/>
        </w:numPr>
        <w:spacing w:after="0"/>
        <w:rPr>
          <w:rFonts w:ascii="Arial" w:hAnsi="Arial" w:cs="Arial"/>
          <w:b/>
          <w:color w:val="000000" w:themeColor="text1"/>
          <w:sz w:val="24"/>
          <w:szCs w:val="24"/>
        </w:rPr>
      </w:pPr>
      <w:r w:rsidRPr="00C0506E">
        <w:rPr>
          <w:rFonts w:ascii="Arial" w:hAnsi="Arial" w:cs="Arial"/>
          <w:b/>
          <w:color w:val="000000" w:themeColor="text1"/>
          <w:sz w:val="24"/>
          <w:szCs w:val="24"/>
        </w:rPr>
        <w:t xml:space="preserve">INTRODUCCION …………………………………………… </w:t>
      </w:r>
    </w:p>
    <w:p w14:paraId="1DB26523" w14:textId="77777777" w:rsidR="00790F49" w:rsidRPr="00C0506E" w:rsidRDefault="00C81285" w:rsidP="00790F49">
      <w:pPr>
        <w:pStyle w:val="Prrafodelista"/>
        <w:numPr>
          <w:ilvl w:val="0"/>
          <w:numId w:val="3"/>
        </w:numPr>
        <w:spacing w:after="0"/>
        <w:rPr>
          <w:rFonts w:ascii="Arial" w:hAnsi="Arial" w:cs="Arial"/>
          <w:b/>
          <w:color w:val="000000" w:themeColor="text1"/>
          <w:sz w:val="24"/>
          <w:szCs w:val="24"/>
        </w:rPr>
      </w:pPr>
      <w:r w:rsidRPr="00C0506E">
        <w:rPr>
          <w:rFonts w:ascii="Arial" w:hAnsi="Arial" w:cs="Arial"/>
          <w:b/>
          <w:color w:val="000000" w:themeColor="text1"/>
          <w:sz w:val="24"/>
          <w:szCs w:val="24"/>
        </w:rPr>
        <w:t>OBJETIVO…………………………</w:t>
      </w:r>
      <w:r w:rsidR="003B5BEB" w:rsidRPr="00C0506E">
        <w:rPr>
          <w:rFonts w:ascii="Arial" w:hAnsi="Arial" w:cs="Arial"/>
          <w:b/>
          <w:color w:val="000000" w:themeColor="text1"/>
          <w:sz w:val="24"/>
          <w:szCs w:val="24"/>
        </w:rPr>
        <w:t>…………………………</w:t>
      </w:r>
    </w:p>
    <w:p w14:paraId="5FDEB639" w14:textId="77777777" w:rsidR="00790F49" w:rsidRPr="00C0506E" w:rsidRDefault="003B5BEB" w:rsidP="00790F49">
      <w:pPr>
        <w:pStyle w:val="Prrafodelista"/>
        <w:numPr>
          <w:ilvl w:val="0"/>
          <w:numId w:val="3"/>
        </w:numPr>
        <w:spacing w:after="0"/>
        <w:rPr>
          <w:rFonts w:ascii="Arial" w:hAnsi="Arial" w:cs="Arial"/>
          <w:b/>
          <w:color w:val="000000" w:themeColor="text1"/>
          <w:sz w:val="24"/>
          <w:szCs w:val="24"/>
        </w:rPr>
      </w:pPr>
      <w:r w:rsidRPr="00C0506E">
        <w:rPr>
          <w:rFonts w:ascii="Arial" w:hAnsi="Arial" w:cs="Arial"/>
          <w:b/>
          <w:color w:val="000000" w:themeColor="text1"/>
          <w:sz w:val="24"/>
          <w:szCs w:val="24"/>
        </w:rPr>
        <w:t>ALCANCE……………………………………………………</w:t>
      </w:r>
    </w:p>
    <w:p w14:paraId="7E017F9F" w14:textId="77777777" w:rsidR="00790F49" w:rsidRPr="00C0506E" w:rsidRDefault="0003077C" w:rsidP="00790F49">
      <w:pPr>
        <w:pStyle w:val="Prrafodelista"/>
        <w:numPr>
          <w:ilvl w:val="0"/>
          <w:numId w:val="3"/>
        </w:numPr>
        <w:spacing w:after="0"/>
        <w:rPr>
          <w:rFonts w:ascii="Arial" w:hAnsi="Arial" w:cs="Arial"/>
          <w:b/>
          <w:color w:val="000000" w:themeColor="text1"/>
          <w:sz w:val="24"/>
          <w:szCs w:val="24"/>
        </w:rPr>
      </w:pPr>
      <w:r w:rsidRPr="00C0506E">
        <w:rPr>
          <w:rFonts w:ascii="Arial" w:hAnsi="Arial" w:cs="Arial"/>
          <w:b/>
          <w:color w:val="000000" w:themeColor="text1"/>
          <w:sz w:val="24"/>
          <w:szCs w:val="24"/>
        </w:rPr>
        <w:t>DESARROLLO</w:t>
      </w:r>
      <w:r w:rsidR="003B5BEB" w:rsidRPr="00C0506E">
        <w:rPr>
          <w:rFonts w:ascii="Arial" w:hAnsi="Arial" w:cs="Arial"/>
          <w:b/>
          <w:color w:val="000000" w:themeColor="text1"/>
          <w:sz w:val="24"/>
          <w:szCs w:val="24"/>
        </w:rPr>
        <w:t>……………………………………………</w:t>
      </w:r>
      <w:r w:rsidRPr="00C0506E">
        <w:rPr>
          <w:rFonts w:ascii="Arial" w:hAnsi="Arial" w:cs="Arial"/>
          <w:b/>
          <w:color w:val="000000" w:themeColor="text1"/>
          <w:sz w:val="24"/>
          <w:szCs w:val="24"/>
        </w:rPr>
        <w:t>…</w:t>
      </w:r>
    </w:p>
    <w:p w14:paraId="1A89EB94" w14:textId="77777777" w:rsidR="00790F49" w:rsidRPr="00C0506E" w:rsidRDefault="0003077C" w:rsidP="00790F49">
      <w:pPr>
        <w:pStyle w:val="Prrafodelista"/>
        <w:numPr>
          <w:ilvl w:val="0"/>
          <w:numId w:val="3"/>
        </w:numPr>
        <w:spacing w:after="0"/>
        <w:rPr>
          <w:rFonts w:ascii="Arial" w:hAnsi="Arial" w:cs="Arial"/>
          <w:b/>
          <w:color w:val="000000" w:themeColor="text1"/>
          <w:sz w:val="24"/>
          <w:szCs w:val="24"/>
        </w:rPr>
      </w:pPr>
      <w:r w:rsidRPr="00C0506E">
        <w:rPr>
          <w:rFonts w:ascii="Arial" w:hAnsi="Arial" w:cs="Arial"/>
          <w:b/>
          <w:color w:val="000000" w:themeColor="text1"/>
          <w:sz w:val="24"/>
          <w:szCs w:val="24"/>
        </w:rPr>
        <w:t>RECOMENDACIONES</w:t>
      </w:r>
      <w:r w:rsidR="00790F49" w:rsidRPr="00C0506E">
        <w:rPr>
          <w:rFonts w:ascii="Arial" w:hAnsi="Arial" w:cs="Arial"/>
          <w:b/>
          <w:color w:val="000000" w:themeColor="text1"/>
          <w:sz w:val="24"/>
          <w:szCs w:val="24"/>
        </w:rPr>
        <w:t>…………………</w:t>
      </w:r>
      <w:r w:rsidR="00C81285" w:rsidRPr="00C0506E">
        <w:rPr>
          <w:rFonts w:ascii="Arial" w:hAnsi="Arial" w:cs="Arial"/>
          <w:b/>
          <w:color w:val="000000" w:themeColor="text1"/>
          <w:sz w:val="24"/>
          <w:szCs w:val="24"/>
        </w:rPr>
        <w:t>……</w:t>
      </w:r>
      <w:r w:rsidRPr="00C0506E">
        <w:rPr>
          <w:rFonts w:ascii="Arial" w:hAnsi="Arial" w:cs="Arial"/>
          <w:b/>
          <w:color w:val="000000" w:themeColor="text1"/>
          <w:sz w:val="24"/>
          <w:szCs w:val="24"/>
        </w:rPr>
        <w:t>…………….</w:t>
      </w:r>
    </w:p>
    <w:p w14:paraId="381F4723" w14:textId="77777777" w:rsidR="00790F49" w:rsidRPr="00C0506E" w:rsidRDefault="00790F49" w:rsidP="00790F49">
      <w:pPr>
        <w:pStyle w:val="Prrafodelista"/>
        <w:numPr>
          <w:ilvl w:val="0"/>
          <w:numId w:val="3"/>
        </w:numPr>
        <w:spacing w:after="0"/>
        <w:rPr>
          <w:rFonts w:ascii="Arial" w:hAnsi="Arial" w:cs="Arial"/>
          <w:b/>
          <w:color w:val="000000" w:themeColor="text1"/>
          <w:sz w:val="24"/>
          <w:szCs w:val="24"/>
        </w:rPr>
      </w:pPr>
      <w:r w:rsidRPr="00C0506E">
        <w:rPr>
          <w:rFonts w:ascii="Arial" w:hAnsi="Arial" w:cs="Arial"/>
          <w:b/>
          <w:color w:val="000000" w:themeColor="text1"/>
          <w:sz w:val="24"/>
          <w:szCs w:val="24"/>
        </w:rPr>
        <w:t xml:space="preserve">CONCLUSIONES </w:t>
      </w:r>
      <w:r w:rsidR="003B5BEB" w:rsidRPr="00C0506E">
        <w:rPr>
          <w:rFonts w:ascii="Arial" w:hAnsi="Arial" w:cs="Arial"/>
          <w:b/>
          <w:color w:val="000000" w:themeColor="text1"/>
          <w:sz w:val="24"/>
          <w:szCs w:val="24"/>
        </w:rPr>
        <w:t>……………..................</w:t>
      </w:r>
      <w:r w:rsidR="000661B0" w:rsidRPr="00C0506E">
        <w:rPr>
          <w:rFonts w:ascii="Arial" w:hAnsi="Arial" w:cs="Arial"/>
          <w:b/>
          <w:color w:val="000000" w:themeColor="text1"/>
          <w:sz w:val="24"/>
          <w:szCs w:val="24"/>
        </w:rPr>
        <w:t>.......................</w:t>
      </w:r>
    </w:p>
    <w:p w14:paraId="22F8D04D" w14:textId="77777777" w:rsidR="00790F49" w:rsidRPr="00C0506E" w:rsidRDefault="00790F49" w:rsidP="00790F49">
      <w:pPr>
        <w:spacing w:after="0"/>
        <w:rPr>
          <w:rFonts w:ascii="Arial" w:hAnsi="Arial" w:cs="Arial"/>
          <w:b/>
          <w:color w:val="000000" w:themeColor="text1"/>
          <w:sz w:val="24"/>
          <w:szCs w:val="24"/>
        </w:rPr>
      </w:pPr>
    </w:p>
    <w:p w14:paraId="3E5BD17F" w14:textId="77777777" w:rsidR="00790F49" w:rsidRPr="00C0506E" w:rsidRDefault="00790F49" w:rsidP="00790F49">
      <w:pPr>
        <w:spacing w:after="0"/>
        <w:rPr>
          <w:rFonts w:ascii="Arial" w:hAnsi="Arial" w:cs="Arial"/>
          <w:b/>
          <w:color w:val="000000" w:themeColor="text1"/>
          <w:sz w:val="24"/>
          <w:szCs w:val="24"/>
        </w:rPr>
      </w:pPr>
    </w:p>
    <w:p w14:paraId="6380BF77" w14:textId="77777777" w:rsidR="00E21F24" w:rsidRPr="00C0506E" w:rsidRDefault="00E21F24" w:rsidP="00E21F24">
      <w:pPr>
        <w:rPr>
          <w:rFonts w:ascii="Arial" w:hAnsi="Arial" w:cs="Arial"/>
          <w:b/>
          <w:sz w:val="24"/>
          <w:szCs w:val="24"/>
        </w:rPr>
      </w:pPr>
    </w:p>
    <w:p w14:paraId="5D3E1943" w14:textId="77777777" w:rsidR="00E21F24" w:rsidRPr="00C0506E" w:rsidRDefault="00E21F24" w:rsidP="00E21F24">
      <w:pPr>
        <w:rPr>
          <w:rFonts w:ascii="Arial" w:hAnsi="Arial" w:cs="Arial"/>
          <w:b/>
          <w:sz w:val="24"/>
          <w:szCs w:val="24"/>
        </w:rPr>
      </w:pPr>
    </w:p>
    <w:p w14:paraId="325C01CC" w14:textId="77777777" w:rsidR="00E21F24" w:rsidRPr="00C0506E" w:rsidRDefault="00E21F24" w:rsidP="00E21F24">
      <w:pPr>
        <w:rPr>
          <w:rFonts w:ascii="Arial" w:hAnsi="Arial" w:cs="Arial"/>
          <w:b/>
          <w:sz w:val="24"/>
          <w:szCs w:val="24"/>
        </w:rPr>
      </w:pPr>
    </w:p>
    <w:p w14:paraId="0EBDBC83" w14:textId="77777777" w:rsidR="00E21F24" w:rsidRPr="00C0506E" w:rsidRDefault="00E21F24" w:rsidP="00E21F24">
      <w:pPr>
        <w:rPr>
          <w:rFonts w:ascii="Arial" w:hAnsi="Arial" w:cs="Arial"/>
          <w:b/>
          <w:sz w:val="24"/>
          <w:szCs w:val="24"/>
        </w:rPr>
      </w:pPr>
    </w:p>
    <w:p w14:paraId="1FF5B96B" w14:textId="77777777" w:rsidR="00E21F24" w:rsidRPr="00C0506E" w:rsidRDefault="00E21F24" w:rsidP="00E21F24">
      <w:pPr>
        <w:rPr>
          <w:rFonts w:ascii="Arial" w:hAnsi="Arial" w:cs="Arial"/>
          <w:b/>
          <w:sz w:val="24"/>
          <w:szCs w:val="24"/>
        </w:rPr>
      </w:pPr>
    </w:p>
    <w:p w14:paraId="30D710D1" w14:textId="77777777" w:rsidR="00E21F24" w:rsidRPr="00C0506E" w:rsidRDefault="00E21F24" w:rsidP="00E21F24">
      <w:pPr>
        <w:rPr>
          <w:rFonts w:ascii="Arial" w:hAnsi="Arial" w:cs="Arial"/>
          <w:b/>
          <w:sz w:val="24"/>
          <w:szCs w:val="24"/>
        </w:rPr>
      </w:pPr>
    </w:p>
    <w:p w14:paraId="45ACFEB0" w14:textId="77777777" w:rsidR="00E21F24" w:rsidRPr="00C0506E" w:rsidRDefault="00E21F24" w:rsidP="00E21F24">
      <w:pPr>
        <w:rPr>
          <w:rFonts w:ascii="Arial" w:hAnsi="Arial" w:cs="Arial"/>
          <w:b/>
          <w:sz w:val="24"/>
          <w:szCs w:val="24"/>
        </w:rPr>
      </w:pPr>
    </w:p>
    <w:p w14:paraId="18B37AD5" w14:textId="77777777" w:rsidR="00E21F24" w:rsidRPr="00C0506E" w:rsidRDefault="00E21F24" w:rsidP="00E21F24">
      <w:pPr>
        <w:rPr>
          <w:rFonts w:ascii="Arial" w:hAnsi="Arial" w:cs="Arial"/>
          <w:b/>
          <w:sz w:val="24"/>
          <w:szCs w:val="24"/>
        </w:rPr>
      </w:pPr>
    </w:p>
    <w:p w14:paraId="387C0F80" w14:textId="77777777" w:rsidR="00E21F24" w:rsidRPr="00C0506E" w:rsidRDefault="00E21F24" w:rsidP="00E21F24">
      <w:pPr>
        <w:rPr>
          <w:rFonts w:ascii="Arial" w:hAnsi="Arial" w:cs="Arial"/>
          <w:b/>
          <w:sz w:val="24"/>
          <w:szCs w:val="24"/>
        </w:rPr>
      </w:pPr>
    </w:p>
    <w:p w14:paraId="0A6B7E57" w14:textId="77777777" w:rsidR="00E21F24" w:rsidRPr="00C0506E" w:rsidRDefault="00E21F24" w:rsidP="00E21F24">
      <w:pPr>
        <w:rPr>
          <w:rFonts w:ascii="Arial" w:hAnsi="Arial" w:cs="Arial"/>
          <w:b/>
          <w:sz w:val="24"/>
          <w:szCs w:val="24"/>
        </w:rPr>
      </w:pPr>
    </w:p>
    <w:p w14:paraId="58DA851A" w14:textId="77777777" w:rsidR="00E21F24" w:rsidRPr="00C0506E" w:rsidRDefault="00E21F24" w:rsidP="00E21F24">
      <w:pPr>
        <w:rPr>
          <w:rFonts w:ascii="Arial" w:hAnsi="Arial" w:cs="Arial"/>
          <w:b/>
          <w:sz w:val="24"/>
          <w:szCs w:val="24"/>
        </w:rPr>
      </w:pPr>
    </w:p>
    <w:p w14:paraId="52312ACF" w14:textId="77777777" w:rsidR="00E21F24" w:rsidRPr="00C0506E" w:rsidRDefault="00E21F24" w:rsidP="00E21F24">
      <w:pPr>
        <w:rPr>
          <w:rFonts w:ascii="Arial" w:hAnsi="Arial" w:cs="Arial"/>
          <w:b/>
          <w:sz w:val="24"/>
          <w:szCs w:val="24"/>
        </w:rPr>
      </w:pPr>
    </w:p>
    <w:p w14:paraId="43442469" w14:textId="77777777" w:rsidR="00790F49" w:rsidRPr="00C0506E" w:rsidRDefault="00790F49" w:rsidP="00E21F24">
      <w:pPr>
        <w:rPr>
          <w:rFonts w:ascii="Arial" w:hAnsi="Arial" w:cs="Arial"/>
          <w:b/>
          <w:sz w:val="24"/>
          <w:szCs w:val="24"/>
        </w:rPr>
      </w:pPr>
    </w:p>
    <w:p w14:paraId="27F9C9EC" w14:textId="77777777" w:rsidR="00A40E4F" w:rsidRPr="00C0506E" w:rsidRDefault="00A40E4F" w:rsidP="00A40E4F">
      <w:pPr>
        <w:pStyle w:val="Prrafodelista"/>
        <w:numPr>
          <w:ilvl w:val="0"/>
          <w:numId w:val="4"/>
        </w:numPr>
        <w:spacing w:after="0"/>
        <w:rPr>
          <w:rFonts w:ascii="Arial" w:hAnsi="Arial" w:cs="Arial"/>
          <w:b/>
          <w:sz w:val="24"/>
          <w:szCs w:val="24"/>
        </w:rPr>
      </w:pPr>
      <w:r w:rsidRPr="00C0506E">
        <w:rPr>
          <w:rFonts w:ascii="Arial" w:hAnsi="Arial" w:cs="Arial"/>
          <w:b/>
          <w:sz w:val="24"/>
          <w:szCs w:val="24"/>
        </w:rPr>
        <w:lastRenderedPageBreak/>
        <w:t>INTRODUCCIÓN</w:t>
      </w:r>
    </w:p>
    <w:p w14:paraId="6477A60D" w14:textId="0BA6EDD3" w:rsidR="00A40E4F" w:rsidRPr="00C0506E" w:rsidRDefault="0075488D" w:rsidP="0075488D">
      <w:pPr>
        <w:pStyle w:val="Prrafodelista"/>
        <w:spacing w:after="0"/>
        <w:jc w:val="both"/>
        <w:rPr>
          <w:rFonts w:ascii="Arial" w:hAnsi="Arial" w:cs="Arial"/>
          <w:sz w:val="24"/>
          <w:szCs w:val="24"/>
        </w:rPr>
      </w:pPr>
      <w:r w:rsidRPr="00C0506E">
        <w:rPr>
          <w:rFonts w:ascii="Arial" w:hAnsi="Arial" w:cs="Arial"/>
          <w:sz w:val="24"/>
          <w:szCs w:val="24"/>
        </w:rPr>
        <w:t xml:space="preserve">La </w:t>
      </w:r>
      <w:proofErr w:type="spellStart"/>
      <w:r w:rsidR="002516DE">
        <w:rPr>
          <w:rFonts w:ascii="Arial" w:hAnsi="Arial" w:cs="Arial"/>
          <w:sz w:val="24"/>
          <w:szCs w:val="24"/>
        </w:rPr>
        <w:t>Direcciòn</w:t>
      </w:r>
      <w:proofErr w:type="spellEnd"/>
      <w:r w:rsidRPr="00C0506E">
        <w:rPr>
          <w:rFonts w:ascii="Arial" w:hAnsi="Arial" w:cs="Arial"/>
          <w:sz w:val="24"/>
          <w:szCs w:val="24"/>
        </w:rPr>
        <w:t xml:space="preserve"> de Evaluación y Control, rinde el informe de seguimiento </w:t>
      </w:r>
      <w:r w:rsidR="00E32FFA" w:rsidRPr="00C0506E">
        <w:rPr>
          <w:rFonts w:ascii="Arial" w:hAnsi="Arial" w:cs="Arial"/>
          <w:bCs/>
          <w:sz w:val="24"/>
          <w:szCs w:val="24"/>
        </w:rPr>
        <w:t>a las publicaciones de la contratación en SECOP, gestión transparente y plan anual de adquisiciones primer semestre de 2025</w:t>
      </w:r>
      <w:r w:rsidR="00370D23" w:rsidRPr="00C0506E">
        <w:rPr>
          <w:rFonts w:ascii="Arial" w:hAnsi="Arial" w:cs="Arial"/>
          <w:bCs/>
          <w:sz w:val="24"/>
          <w:szCs w:val="24"/>
        </w:rPr>
        <w:t>.</w:t>
      </w:r>
    </w:p>
    <w:p w14:paraId="2D17EEDD" w14:textId="77777777" w:rsidR="0028508D" w:rsidRPr="00C0506E" w:rsidRDefault="0028508D" w:rsidP="0075488D">
      <w:pPr>
        <w:pStyle w:val="Prrafodelista"/>
        <w:spacing w:after="0"/>
        <w:jc w:val="both"/>
        <w:rPr>
          <w:rFonts w:ascii="Arial" w:hAnsi="Arial" w:cs="Arial"/>
          <w:b/>
          <w:sz w:val="24"/>
          <w:szCs w:val="24"/>
        </w:rPr>
      </w:pPr>
    </w:p>
    <w:p w14:paraId="5E6EE672" w14:textId="0C437B80" w:rsidR="0075488D" w:rsidRPr="00C0506E" w:rsidRDefault="00A6406E" w:rsidP="0075488D">
      <w:pPr>
        <w:pStyle w:val="NormalWeb"/>
        <w:numPr>
          <w:ilvl w:val="0"/>
          <w:numId w:val="4"/>
        </w:numPr>
        <w:shd w:val="clear" w:color="auto" w:fill="FFFFFF"/>
        <w:spacing w:before="0" w:beforeAutospacing="0" w:after="0" w:afterAutospacing="0" w:line="360" w:lineRule="atLeast"/>
        <w:jc w:val="both"/>
        <w:textAlignment w:val="baseline"/>
        <w:rPr>
          <w:rFonts w:ascii="Arial" w:hAnsi="Arial" w:cs="Arial"/>
          <w:b/>
          <w:color w:val="000000" w:themeColor="text1"/>
          <w:bdr w:val="none" w:sz="0" w:space="0" w:color="auto" w:frame="1"/>
        </w:rPr>
      </w:pPr>
      <w:r w:rsidRPr="00C0506E">
        <w:rPr>
          <w:rFonts w:ascii="Arial" w:hAnsi="Arial" w:cs="Arial"/>
          <w:b/>
          <w:color w:val="000000" w:themeColor="text1"/>
          <w:bdr w:val="none" w:sz="0" w:space="0" w:color="auto" w:frame="1"/>
        </w:rPr>
        <w:t>OBJETIVO</w:t>
      </w:r>
    </w:p>
    <w:p w14:paraId="36023693" w14:textId="59FFEDE3" w:rsidR="00370D23" w:rsidRPr="00C0506E" w:rsidRDefault="0075488D" w:rsidP="00370D23">
      <w:pPr>
        <w:pStyle w:val="Prrafodelista"/>
        <w:spacing w:after="0"/>
        <w:jc w:val="both"/>
        <w:rPr>
          <w:rFonts w:ascii="Arial" w:hAnsi="Arial" w:cs="Arial"/>
          <w:sz w:val="24"/>
          <w:szCs w:val="24"/>
        </w:rPr>
      </w:pPr>
      <w:r w:rsidRPr="00C0506E">
        <w:rPr>
          <w:rFonts w:ascii="Arial" w:hAnsi="Arial" w:cs="Arial"/>
          <w:sz w:val="24"/>
          <w:szCs w:val="24"/>
        </w:rPr>
        <w:t xml:space="preserve">Verificar el cumplimiento de las obligaciones señaladas en </w:t>
      </w:r>
      <w:r w:rsidR="00370D23" w:rsidRPr="00C0506E">
        <w:rPr>
          <w:rFonts w:ascii="Arial" w:hAnsi="Arial" w:cs="Arial"/>
          <w:sz w:val="24"/>
          <w:szCs w:val="24"/>
        </w:rPr>
        <w:t>la Ley 1150 de 2011 y el Decreto 1082 de 2015 asociados a</w:t>
      </w:r>
      <w:r w:rsidR="00370D23" w:rsidRPr="00C0506E">
        <w:rPr>
          <w:rFonts w:ascii="Arial" w:hAnsi="Arial" w:cs="Arial"/>
          <w:bCs/>
          <w:sz w:val="24"/>
          <w:szCs w:val="24"/>
        </w:rPr>
        <w:t xml:space="preserve"> las publicaciones de la contratación en SECOP, gestión transparente y plan anual de adquisiciones primer semestre de 2025.</w:t>
      </w:r>
    </w:p>
    <w:p w14:paraId="3292609E" w14:textId="79298F07" w:rsidR="00A40E4F" w:rsidRPr="00C0506E" w:rsidRDefault="00A40E4F" w:rsidP="00370D23">
      <w:pPr>
        <w:pStyle w:val="NormalWeb"/>
        <w:shd w:val="clear" w:color="auto" w:fill="FFFFFF"/>
        <w:spacing w:before="0" w:beforeAutospacing="0" w:after="0" w:afterAutospacing="0" w:line="276" w:lineRule="auto"/>
        <w:ind w:left="720"/>
        <w:jc w:val="both"/>
        <w:textAlignment w:val="baseline"/>
        <w:rPr>
          <w:rFonts w:ascii="Arial" w:hAnsi="Arial" w:cs="Arial"/>
          <w:b/>
          <w:color w:val="000000" w:themeColor="text1"/>
          <w:bdr w:val="none" w:sz="0" w:space="0" w:color="auto" w:frame="1"/>
        </w:rPr>
      </w:pPr>
    </w:p>
    <w:p w14:paraId="349157F4" w14:textId="77777777" w:rsidR="00A6406E" w:rsidRPr="00C0506E" w:rsidRDefault="00A6406E" w:rsidP="00A40E4F">
      <w:pPr>
        <w:pStyle w:val="NormalWeb"/>
        <w:numPr>
          <w:ilvl w:val="0"/>
          <w:numId w:val="4"/>
        </w:numPr>
        <w:shd w:val="clear" w:color="auto" w:fill="FFFFFF"/>
        <w:spacing w:before="0" w:beforeAutospacing="0" w:after="0" w:afterAutospacing="0" w:line="360" w:lineRule="atLeast"/>
        <w:jc w:val="both"/>
        <w:textAlignment w:val="baseline"/>
        <w:rPr>
          <w:rFonts w:ascii="Arial" w:hAnsi="Arial" w:cs="Arial"/>
          <w:b/>
          <w:color w:val="1C1C1C"/>
        </w:rPr>
      </w:pPr>
      <w:r w:rsidRPr="00C0506E">
        <w:rPr>
          <w:rFonts w:ascii="Arial" w:hAnsi="Arial" w:cs="Arial"/>
          <w:b/>
          <w:color w:val="1C1C1C"/>
        </w:rPr>
        <w:t xml:space="preserve">ALCANCE </w:t>
      </w:r>
    </w:p>
    <w:p w14:paraId="1B353A38" w14:textId="2607190F" w:rsidR="00D640EF" w:rsidRPr="00C0506E" w:rsidRDefault="00D640EF" w:rsidP="00D640EF">
      <w:pPr>
        <w:pStyle w:val="Textoindependiente"/>
        <w:spacing w:line="276" w:lineRule="auto"/>
        <w:ind w:left="720" w:right="777"/>
        <w:jc w:val="both"/>
        <w:rPr>
          <w:rFonts w:ascii="Arial" w:hAnsi="Arial" w:cs="Arial"/>
        </w:rPr>
      </w:pPr>
      <w:r w:rsidRPr="00C0506E">
        <w:rPr>
          <w:rFonts w:ascii="Arial" w:hAnsi="Arial" w:cs="Arial"/>
        </w:rPr>
        <w:t>Periodo comprendido entre el 1 de enero al 3</w:t>
      </w:r>
      <w:r w:rsidR="00370D23" w:rsidRPr="00C0506E">
        <w:rPr>
          <w:rFonts w:ascii="Arial" w:hAnsi="Arial" w:cs="Arial"/>
        </w:rPr>
        <w:t>0</w:t>
      </w:r>
      <w:r w:rsidRPr="00C0506E">
        <w:rPr>
          <w:rFonts w:ascii="Arial" w:hAnsi="Arial" w:cs="Arial"/>
        </w:rPr>
        <w:t xml:space="preserve"> de ju</w:t>
      </w:r>
      <w:r w:rsidR="00370D23" w:rsidRPr="00C0506E">
        <w:rPr>
          <w:rFonts w:ascii="Arial" w:hAnsi="Arial" w:cs="Arial"/>
        </w:rPr>
        <w:t>nio</w:t>
      </w:r>
      <w:r w:rsidRPr="00C0506E">
        <w:rPr>
          <w:rFonts w:ascii="Arial" w:hAnsi="Arial" w:cs="Arial"/>
        </w:rPr>
        <w:t xml:space="preserve"> de 2025.</w:t>
      </w:r>
    </w:p>
    <w:p w14:paraId="16D8EE28" w14:textId="77777777" w:rsidR="00D640EF" w:rsidRPr="00C0506E" w:rsidRDefault="00D640EF" w:rsidP="00D640EF">
      <w:pPr>
        <w:pStyle w:val="NormalWeb"/>
        <w:shd w:val="clear" w:color="auto" w:fill="FFFFFF"/>
        <w:spacing w:before="0" w:beforeAutospacing="0" w:after="0" w:afterAutospacing="0" w:line="360" w:lineRule="atLeast"/>
        <w:ind w:left="720"/>
        <w:jc w:val="both"/>
        <w:textAlignment w:val="baseline"/>
        <w:rPr>
          <w:rFonts w:ascii="Arial" w:hAnsi="Arial" w:cs="Arial"/>
          <w:b/>
          <w:color w:val="1C1C1C"/>
        </w:rPr>
      </w:pPr>
    </w:p>
    <w:p w14:paraId="4822FE6D" w14:textId="77777777" w:rsidR="004E7680" w:rsidRPr="00C0506E" w:rsidRDefault="00A40E4F" w:rsidP="00A40E4F">
      <w:pPr>
        <w:pStyle w:val="Prrafodelista"/>
        <w:numPr>
          <w:ilvl w:val="0"/>
          <w:numId w:val="4"/>
        </w:numPr>
        <w:shd w:val="clear" w:color="auto" w:fill="FFFFFF"/>
        <w:spacing w:after="0"/>
        <w:jc w:val="both"/>
        <w:rPr>
          <w:rFonts w:ascii="Arial" w:eastAsia="Times New Roman" w:hAnsi="Arial" w:cs="Arial"/>
          <w:b/>
          <w:color w:val="000000" w:themeColor="text1"/>
          <w:sz w:val="24"/>
          <w:szCs w:val="24"/>
          <w:lang w:eastAsia="es-CO"/>
        </w:rPr>
      </w:pPr>
      <w:r w:rsidRPr="00C0506E">
        <w:rPr>
          <w:rFonts w:ascii="Arial" w:eastAsia="Times New Roman" w:hAnsi="Arial" w:cs="Arial"/>
          <w:b/>
          <w:color w:val="000000" w:themeColor="text1"/>
          <w:sz w:val="24"/>
          <w:szCs w:val="24"/>
          <w:lang w:eastAsia="es-CO"/>
        </w:rPr>
        <w:t>DESARROLLO</w:t>
      </w:r>
    </w:p>
    <w:p w14:paraId="632D45A3" w14:textId="77777777" w:rsidR="00F45A74" w:rsidRPr="00C0506E" w:rsidRDefault="00F45A74" w:rsidP="00F45A74">
      <w:pPr>
        <w:pStyle w:val="Prrafodelista"/>
        <w:shd w:val="clear" w:color="auto" w:fill="FFFFFF"/>
        <w:spacing w:after="0"/>
        <w:jc w:val="both"/>
        <w:rPr>
          <w:rFonts w:ascii="Arial" w:eastAsia="Times New Roman" w:hAnsi="Arial" w:cs="Arial"/>
          <w:b/>
          <w:color w:val="000000" w:themeColor="text1"/>
          <w:sz w:val="24"/>
          <w:szCs w:val="24"/>
          <w:lang w:eastAsia="es-CO"/>
        </w:rPr>
      </w:pPr>
    </w:p>
    <w:p w14:paraId="0187833A" w14:textId="5BC2FD98" w:rsidR="00790F49" w:rsidRPr="00C0506E" w:rsidRDefault="00D640EF" w:rsidP="00D640EF">
      <w:pPr>
        <w:shd w:val="clear" w:color="auto" w:fill="FFFFFF"/>
        <w:spacing w:after="0"/>
        <w:ind w:left="708"/>
        <w:jc w:val="both"/>
        <w:rPr>
          <w:rFonts w:ascii="Arial" w:hAnsi="Arial" w:cs="Arial"/>
          <w:sz w:val="24"/>
          <w:szCs w:val="24"/>
        </w:rPr>
      </w:pPr>
      <w:r w:rsidRPr="00C0506E">
        <w:rPr>
          <w:rFonts w:ascii="Arial" w:hAnsi="Arial" w:cs="Arial"/>
          <w:sz w:val="24"/>
          <w:szCs w:val="24"/>
        </w:rPr>
        <w:t xml:space="preserve">La </w:t>
      </w:r>
      <w:r w:rsidR="002516DE">
        <w:rPr>
          <w:rFonts w:ascii="Arial" w:hAnsi="Arial" w:cs="Arial"/>
          <w:sz w:val="24"/>
          <w:szCs w:val="24"/>
        </w:rPr>
        <w:t xml:space="preserve">Dirección </w:t>
      </w:r>
      <w:r w:rsidRPr="00C0506E">
        <w:rPr>
          <w:rFonts w:ascii="Arial" w:hAnsi="Arial" w:cs="Arial"/>
          <w:sz w:val="24"/>
          <w:szCs w:val="24"/>
        </w:rPr>
        <w:t xml:space="preserve">de Evaluación y Control adelantó el </w:t>
      </w:r>
      <w:r w:rsidR="00370D23" w:rsidRPr="00C0506E">
        <w:rPr>
          <w:rFonts w:ascii="Arial" w:hAnsi="Arial" w:cs="Arial"/>
          <w:sz w:val="24"/>
          <w:szCs w:val="24"/>
        </w:rPr>
        <w:t xml:space="preserve">seguimiento </w:t>
      </w:r>
      <w:r w:rsidR="00370D23" w:rsidRPr="00C0506E">
        <w:rPr>
          <w:rFonts w:ascii="Arial" w:hAnsi="Arial" w:cs="Arial"/>
          <w:bCs/>
          <w:sz w:val="24"/>
          <w:szCs w:val="24"/>
        </w:rPr>
        <w:t>a las publicaciones de la contratación en SECOP, gestión transparente y plan anual de adquisiciones primer semestre de 2025</w:t>
      </w:r>
      <w:r w:rsidRPr="00C0506E">
        <w:rPr>
          <w:rFonts w:ascii="Arial" w:hAnsi="Arial" w:cs="Arial"/>
          <w:sz w:val="24"/>
          <w:szCs w:val="24"/>
        </w:rPr>
        <w:t xml:space="preserve"> de la Institución Universitaria Pascual Bravo, </w:t>
      </w:r>
      <w:r w:rsidR="00370D23" w:rsidRPr="00C0506E">
        <w:rPr>
          <w:rFonts w:ascii="Arial" w:hAnsi="Arial" w:cs="Arial"/>
          <w:sz w:val="24"/>
          <w:szCs w:val="24"/>
        </w:rPr>
        <w:t>de conformidad con lo ordenado por la Ley 1150 de 2011 y el Decreto 1082 de 2015</w:t>
      </w:r>
      <w:r w:rsidRPr="00C0506E">
        <w:rPr>
          <w:rFonts w:ascii="Arial" w:hAnsi="Arial" w:cs="Arial"/>
          <w:sz w:val="24"/>
          <w:szCs w:val="24"/>
        </w:rPr>
        <w:t xml:space="preserve">, teniendo en cuenta la información suministrada por la Secretaría General, mediante correo electrónico del </w:t>
      </w:r>
      <w:r w:rsidR="00BA0096" w:rsidRPr="00C0506E">
        <w:rPr>
          <w:rFonts w:ascii="Arial" w:hAnsi="Arial" w:cs="Arial"/>
          <w:sz w:val="24"/>
          <w:szCs w:val="24"/>
        </w:rPr>
        <w:t>5</w:t>
      </w:r>
      <w:r w:rsidRPr="00C0506E">
        <w:rPr>
          <w:rFonts w:ascii="Arial" w:hAnsi="Arial" w:cs="Arial"/>
          <w:sz w:val="24"/>
          <w:szCs w:val="24"/>
        </w:rPr>
        <w:t xml:space="preserve"> de septiembre de</w:t>
      </w:r>
      <w:r w:rsidR="00BA0096" w:rsidRPr="00C0506E">
        <w:rPr>
          <w:rFonts w:ascii="Arial" w:hAnsi="Arial" w:cs="Arial"/>
          <w:sz w:val="24"/>
          <w:szCs w:val="24"/>
        </w:rPr>
        <w:t xml:space="preserve"> 2025</w:t>
      </w:r>
      <w:r w:rsidRPr="00C0506E">
        <w:rPr>
          <w:rFonts w:ascii="Arial" w:hAnsi="Arial" w:cs="Arial"/>
          <w:sz w:val="24"/>
          <w:szCs w:val="24"/>
        </w:rPr>
        <w:t>, verificándose lo siguiente:</w:t>
      </w:r>
    </w:p>
    <w:p w14:paraId="6B86F721" w14:textId="77777777" w:rsidR="00D640EF" w:rsidRPr="00C0506E" w:rsidRDefault="00D640EF" w:rsidP="00D640EF">
      <w:pPr>
        <w:shd w:val="clear" w:color="auto" w:fill="FFFFFF"/>
        <w:spacing w:after="0"/>
        <w:ind w:left="708"/>
        <w:jc w:val="both"/>
        <w:rPr>
          <w:rFonts w:ascii="Arial" w:hAnsi="Arial" w:cs="Arial"/>
          <w:sz w:val="24"/>
          <w:szCs w:val="24"/>
        </w:rPr>
      </w:pPr>
    </w:p>
    <w:p w14:paraId="3F7F7C82" w14:textId="62879273" w:rsidR="00726268" w:rsidRPr="00C0506E" w:rsidRDefault="00D640EF" w:rsidP="00BA0096">
      <w:pPr>
        <w:shd w:val="clear" w:color="auto" w:fill="FFFFFF"/>
        <w:spacing w:after="0"/>
        <w:ind w:left="708"/>
        <w:jc w:val="both"/>
        <w:rPr>
          <w:rFonts w:ascii="Arial" w:hAnsi="Arial" w:cs="Arial"/>
          <w:sz w:val="24"/>
          <w:szCs w:val="24"/>
        </w:rPr>
      </w:pPr>
      <w:r w:rsidRPr="00C0506E">
        <w:rPr>
          <w:rFonts w:ascii="Arial" w:hAnsi="Arial" w:cs="Arial"/>
          <w:sz w:val="24"/>
          <w:szCs w:val="24"/>
        </w:rPr>
        <w:t xml:space="preserve">De la información suministrada por la </w:t>
      </w:r>
      <w:r w:rsidR="000851D3" w:rsidRPr="00C0506E">
        <w:rPr>
          <w:rFonts w:ascii="Arial" w:hAnsi="Arial" w:cs="Arial"/>
          <w:sz w:val="24"/>
          <w:szCs w:val="24"/>
        </w:rPr>
        <w:t xml:space="preserve">Secretaría General </w:t>
      </w:r>
      <w:r w:rsidR="00726268" w:rsidRPr="00C0506E">
        <w:rPr>
          <w:rFonts w:ascii="Arial" w:hAnsi="Arial" w:cs="Arial"/>
          <w:sz w:val="24"/>
          <w:szCs w:val="24"/>
        </w:rPr>
        <w:t>informaron de la existencia de</w:t>
      </w:r>
      <w:r w:rsidR="00BA0096" w:rsidRPr="00C0506E">
        <w:rPr>
          <w:rFonts w:ascii="Arial" w:hAnsi="Arial" w:cs="Arial"/>
          <w:sz w:val="24"/>
          <w:szCs w:val="24"/>
        </w:rPr>
        <w:t xml:space="preserve"> 319 contratos en gestión publicados en el SECOP</w:t>
      </w:r>
      <w:r w:rsidR="002516DE">
        <w:rPr>
          <w:rFonts w:ascii="Arial" w:hAnsi="Arial" w:cs="Arial"/>
          <w:sz w:val="24"/>
          <w:szCs w:val="24"/>
        </w:rPr>
        <w:t xml:space="preserve"> </w:t>
      </w:r>
      <w:r w:rsidR="00BA0096" w:rsidRPr="00C0506E">
        <w:rPr>
          <w:rFonts w:ascii="Arial" w:hAnsi="Arial" w:cs="Arial"/>
          <w:sz w:val="24"/>
          <w:szCs w:val="24"/>
        </w:rPr>
        <w:t xml:space="preserve">II así mismo </w:t>
      </w:r>
      <w:r w:rsidR="00726268" w:rsidRPr="00C0506E">
        <w:rPr>
          <w:rFonts w:ascii="Arial" w:hAnsi="Arial" w:cs="Arial"/>
          <w:sz w:val="24"/>
          <w:szCs w:val="24"/>
        </w:rPr>
        <w:t xml:space="preserve">informan </w:t>
      </w:r>
      <w:r w:rsidR="00BA0096" w:rsidRPr="00C0506E">
        <w:rPr>
          <w:rFonts w:ascii="Arial" w:hAnsi="Arial" w:cs="Arial"/>
          <w:sz w:val="24"/>
          <w:szCs w:val="24"/>
        </w:rPr>
        <w:t>que cuentan con un enlace de publicación en portal Gestión Transparente</w:t>
      </w:r>
      <w:r w:rsidR="00E06DA4" w:rsidRPr="00C0506E">
        <w:rPr>
          <w:rFonts w:ascii="Arial" w:hAnsi="Arial" w:cs="Arial"/>
          <w:sz w:val="24"/>
          <w:szCs w:val="24"/>
        </w:rPr>
        <w:t xml:space="preserve">. </w:t>
      </w:r>
    </w:p>
    <w:p w14:paraId="47800BEF" w14:textId="77777777" w:rsidR="00095684" w:rsidRPr="00C0506E" w:rsidRDefault="00095684" w:rsidP="00BA0096">
      <w:pPr>
        <w:shd w:val="clear" w:color="auto" w:fill="FFFFFF"/>
        <w:spacing w:after="0"/>
        <w:ind w:left="708"/>
        <w:jc w:val="both"/>
        <w:rPr>
          <w:rFonts w:ascii="Arial" w:hAnsi="Arial" w:cs="Arial"/>
          <w:sz w:val="24"/>
          <w:szCs w:val="24"/>
        </w:rPr>
      </w:pPr>
    </w:p>
    <w:p w14:paraId="3F6A75D1" w14:textId="060A24A4" w:rsidR="00D3632C" w:rsidRPr="00C0506E" w:rsidRDefault="00D102F3" w:rsidP="00BA0096">
      <w:pPr>
        <w:shd w:val="clear" w:color="auto" w:fill="FFFFFF"/>
        <w:spacing w:after="0"/>
        <w:ind w:left="708"/>
        <w:jc w:val="both"/>
        <w:rPr>
          <w:rFonts w:ascii="Arial" w:hAnsi="Arial" w:cs="Arial"/>
          <w:sz w:val="24"/>
          <w:szCs w:val="24"/>
        </w:rPr>
      </w:pPr>
      <w:r w:rsidRPr="00C0506E">
        <w:rPr>
          <w:rFonts w:ascii="Arial" w:hAnsi="Arial" w:cs="Arial"/>
          <w:sz w:val="24"/>
          <w:szCs w:val="24"/>
        </w:rPr>
        <w:t>No obstante, de la verificación en Gestión Transparente, se evidencian 2622 contratos rendidos en la plataforma</w:t>
      </w:r>
      <w:r w:rsidR="00726268" w:rsidRPr="00C0506E">
        <w:rPr>
          <w:rFonts w:ascii="Arial" w:hAnsi="Arial" w:cs="Arial"/>
          <w:sz w:val="24"/>
          <w:szCs w:val="24"/>
        </w:rPr>
        <w:t xml:space="preserve"> y en el SECOP II</w:t>
      </w:r>
      <w:r w:rsidR="001C2327" w:rsidRPr="00C0506E">
        <w:rPr>
          <w:rFonts w:ascii="Arial" w:hAnsi="Arial" w:cs="Arial"/>
          <w:sz w:val="24"/>
          <w:szCs w:val="24"/>
        </w:rPr>
        <w:t xml:space="preserve"> </w:t>
      </w:r>
      <w:r w:rsidR="00726268" w:rsidRPr="00C0506E">
        <w:rPr>
          <w:rFonts w:ascii="Arial" w:hAnsi="Arial" w:cs="Arial"/>
          <w:sz w:val="24"/>
          <w:szCs w:val="24"/>
        </w:rPr>
        <w:t>se evidencia la publicación de 2585 procesos contractuales en la vigencia evaluada, lo que equivale a una diferencia de 37 procesos sin publicar en la plataforma SECOP</w:t>
      </w:r>
      <w:r w:rsidR="002516DE">
        <w:rPr>
          <w:rFonts w:ascii="Arial" w:hAnsi="Arial" w:cs="Arial"/>
          <w:sz w:val="24"/>
          <w:szCs w:val="24"/>
        </w:rPr>
        <w:t xml:space="preserve"> </w:t>
      </w:r>
      <w:r w:rsidR="00726268" w:rsidRPr="00C0506E">
        <w:rPr>
          <w:rFonts w:ascii="Arial" w:hAnsi="Arial" w:cs="Arial"/>
          <w:sz w:val="24"/>
          <w:szCs w:val="24"/>
        </w:rPr>
        <w:t>II.</w:t>
      </w:r>
    </w:p>
    <w:p w14:paraId="37214648" w14:textId="77777777" w:rsidR="00D3632C" w:rsidRPr="00C0506E" w:rsidRDefault="00D3632C" w:rsidP="00BA0096">
      <w:pPr>
        <w:shd w:val="clear" w:color="auto" w:fill="FFFFFF"/>
        <w:spacing w:after="0"/>
        <w:ind w:left="708"/>
        <w:jc w:val="both"/>
        <w:rPr>
          <w:rFonts w:ascii="Arial" w:hAnsi="Arial" w:cs="Arial"/>
          <w:sz w:val="24"/>
          <w:szCs w:val="24"/>
        </w:rPr>
      </w:pPr>
    </w:p>
    <w:p w14:paraId="1C7898E8" w14:textId="7236B095" w:rsidR="00807569" w:rsidRPr="00C0506E" w:rsidRDefault="00E06DA4" w:rsidP="00BA0096">
      <w:pPr>
        <w:shd w:val="clear" w:color="auto" w:fill="FFFFFF"/>
        <w:spacing w:after="0"/>
        <w:ind w:left="708"/>
        <w:jc w:val="both"/>
        <w:rPr>
          <w:rFonts w:ascii="Arial" w:hAnsi="Arial" w:cs="Arial"/>
          <w:sz w:val="24"/>
          <w:szCs w:val="24"/>
        </w:rPr>
      </w:pPr>
      <w:r w:rsidRPr="00C0506E">
        <w:rPr>
          <w:rFonts w:ascii="Arial" w:hAnsi="Arial" w:cs="Arial"/>
          <w:sz w:val="24"/>
          <w:szCs w:val="24"/>
        </w:rPr>
        <w:t>Ahora bien, de los contratos que surtieron modificaciones tales como adiciones, prorrogas, suspensiones o terminaciones anticipadas, se observa que de 416 contratos que presentan estas particularidades, solo 258 aparecen con enlace que demuestre la rendición de la cuenta en el portal gestión transparente, y 3 de ellos se informa que la cuenta no fue rendida en las vigencias correspondientes.</w:t>
      </w:r>
    </w:p>
    <w:p w14:paraId="3D0D92AF" w14:textId="77777777" w:rsidR="00E06DA4" w:rsidRPr="00C0506E" w:rsidRDefault="00E06DA4" w:rsidP="00BA0096">
      <w:pPr>
        <w:shd w:val="clear" w:color="auto" w:fill="FFFFFF"/>
        <w:spacing w:after="0"/>
        <w:ind w:left="708"/>
        <w:jc w:val="both"/>
        <w:rPr>
          <w:rFonts w:ascii="Arial" w:hAnsi="Arial" w:cs="Arial"/>
          <w:sz w:val="24"/>
          <w:szCs w:val="24"/>
        </w:rPr>
      </w:pPr>
    </w:p>
    <w:p w14:paraId="6E91F8ED" w14:textId="730B07D9" w:rsidR="00BA0096" w:rsidRPr="00C0506E" w:rsidRDefault="00E06DA4" w:rsidP="00BA0096">
      <w:pPr>
        <w:shd w:val="clear" w:color="auto" w:fill="FFFFFF"/>
        <w:spacing w:after="0"/>
        <w:ind w:left="708"/>
        <w:jc w:val="both"/>
        <w:rPr>
          <w:rFonts w:ascii="Arial" w:eastAsia="Times New Roman" w:hAnsi="Arial" w:cs="Arial"/>
          <w:color w:val="000000" w:themeColor="text1"/>
          <w:sz w:val="24"/>
          <w:szCs w:val="24"/>
          <w:lang w:eastAsia="es-CO"/>
        </w:rPr>
      </w:pPr>
      <w:r w:rsidRPr="00C0506E">
        <w:rPr>
          <w:rFonts w:ascii="Arial" w:eastAsia="Times New Roman" w:hAnsi="Arial" w:cs="Arial"/>
          <w:color w:val="000000" w:themeColor="text1"/>
          <w:sz w:val="24"/>
          <w:szCs w:val="24"/>
          <w:lang w:eastAsia="es-CO"/>
        </w:rPr>
        <w:t>Con referencia a</w:t>
      </w:r>
      <w:r w:rsidR="00D3632C" w:rsidRPr="00C0506E">
        <w:rPr>
          <w:rFonts w:ascii="Arial" w:eastAsia="Times New Roman" w:hAnsi="Arial" w:cs="Arial"/>
          <w:color w:val="000000" w:themeColor="text1"/>
          <w:sz w:val="24"/>
          <w:szCs w:val="24"/>
          <w:lang w:eastAsia="es-CO"/>
        </w:rPr>
        <w:t>l reporte de las sesiones ordinarias y extraordinarias de la Junta de Adquisiciones y Licitaciones, la dependencia aporta una base ordenada de la realización de estas en los meses de enero a junio de 2025, con una frecuencia semanal.</w:t>
      </w:r>
      <w:r w:rsidR="008D4920" w:rsidRPr="00C0506E">
        <w:rPr>
          <w:rFonts w:ascii="Arial" w:eastAsia="Times New Roman" w:hAnsi="Arial" w:cs="Arial"/>
          <w:color w:val="000000" w:themeColor="text1"/>
          <w:sz w:val="24"/>
          <w:szCs w:val="24"/>
          <w:lang w:eastAsia="es-CO"/>
        </w:rPr>
        <w:t xml:space="preserve"> Durante el periodo evaluado se realizaron 48 sesiones de la Junta, en donde 28 fueron de carácter ordinario y 20 extraordinario.</w:t>
      </w:r>
    </w:p>
    <w:p w14:paraId="15E5BA90" w14:textId="77777777" w:rsidR="00D3632C" w:rsidRPr="00C0506E" w:rsidRDefault="00D3632C" w:rsidP="00BA0096">
      <w:pPr>
        <w:shd w:val="clear" w:color="auto" w:fill="FFFFFF"/>
        <w:spacing w:after="0"/>
        <w:ind w:left="708"/>
        <w:jc w:val="both"/>
        <w:rPr>
          <w:rFonts w:ascii="Arial" w:eastAsia="Times New Roman" w:hAnsi="Arial" w:cs="Arial"/>
          <w:color w:val="000000" w:themeColor="text1"/>
          <w:sz w:val="24"/>
          <w:szCs w:val="24"/>
          <w:lang w:eastAsia="es-CO"/>
        </w:rPr>
      </w:pPr>
    </w:p>
    <w:p w14:paraId="20275D0E" w14:textId="71577229" w:rsidR="00D3632C" w:rsidRPr="00C0506E" w:rsidRDefault="00D3632C" w:rsidP="00BA0096">
      <w:pPr>
        <w:shd w:val="clear" w:color="auto" w:fill="FFFFFF"/>
        <w:spacing w:after="0"/>
        <w:ind w:left="708"/>
        <w:jc w:val="both"/>
        <w:rPr>
          <w:rFonts w:ascii="Arial" w:eastAsia="Times New Roman" w:hAnsi="Arial" w:cs="Arial"/>
          <w:color w:val="000000" w:themeColor="text1"/>
          <w:sz w:val="24"/>
          <w:szCs w:val="24"/>
          <w:lang w:eastAsia="es-CO"/>
        </w:rPr>
      </w:pPr>
      <w:r w:rsidRPr="00C0506E">
        <w:rPr>
          <w:rFonts w:ascii="Arial" w:eastAsia="Times New Roman" w:hAnsi="Arial" w:cs="Arial"/>
          <w:color w:val="000000" w:themeColor="text1"/>
          <w:sz w:val="24"/>
          <w:szCs w:val="24"/>
          <w:lang w:eastAsia="es-CO"/>
        </w:rPr>
        <w:t>Finalmente, verificada la información relacionada con el Plan Anual de Adquisiciones de la entidad, se observa una gestión adecuada en sus procesos de</w:t>
      </w:r>
      <w:r w:rsidR="00F45A74" w:rsidRPr="00C0506E">
        <w:rPr>
          <w:rFonts w:ascii="Arial" w:eastAsia="Times New Roman" w:hAnsi="Arial" w:cs="Arial"/>
          <w:color w:val="000000" w:themeColor="text1"/>
          <w:sz w:val="24"/>
          <w:szCs w:val="24"/>
          <w:lang w:eastAsia="es-CO"/>
        </w:rPr>
        <w:t xml:space="preserve"> publicación inicial del PAA, sus</w:t>
      </w:r>
      <w:r w:rsidRPr="00C0506E">
        <w:rPr>
          <w:rFonts w:ascii="Arial" w:eastAsia="Times New Roman" w:hAnsi="Arial" w:cs="Arial"/>
          <w:color w:val="000000" w:themeColor="text1"/>
          <w:sz w:val="24"/>
          <w:szCs w:val="24"/>
          <w:lang w:eastAsia="es-CO"/>
        </w:rPr>
        <w:t xml:space="preserve"> modificaci</w:t>
      </w:r>
      <w:r w:rsidR="00F45A74" w:rsidRPr="00C0506E">
        <w:rPr>
          <w:rFonts w:ascii="Arial" w:eastAsia="Times New Roman" w:hAnsi="Arial" w:cs="Arial"/>
          <w:color w:val="000000" w:themeColor="text1"/>
          <w:sz w:val="24"/>
          <w:szCs w:val="24"/>
          <w:lang w:eastAsia="es-CO"/>
        </w:rPr>
        <w:t>ones</w:t>
      </w:r>
      <w:r w:rsidRPr="00C0506E">
        <w:rPr>
          <w:rFonts w:ascii="Arial" w:eastAsia="Times New Roman" w:hAnsi="Arial" w:cs="Arial"/>
          <w:color w:val="000000" w:themeColor="text1"/>
          <w:sz w:val="24"/>
          <w:szCs w:val="24"/>
          <w:lang w:eastAsia="es-CO"/>
        </w:rPr>
        <w:t xml:space="preserve"> y/o actualizaci</w:t>
      </w:r>
      <w:r w:rsidR="00F45A74" w:rsidRPr="00C0506E">
        <w:rPr>
          <w:rFonts w:ascii="Arial" w:eastAsia="Times New Roman" w:hAnsi="Arial" w:cs="Arial"/>
          <w:color w:val="000000" w:themeColor="text1"/>
          <w:sz w:val="24"/>
          <w:szCs w:val="24"/>
          <w:lang w:eastAsia="es-CO"/>
        </w:rPr>
        <w:t>ones</w:t>
      </w:r>
      <w:r w:rsidRPr="00C0506E">
        <w:rPr>
          <w:rFonts w:ascii="Arial" w:eastAsia="Times New Roman" w:hAnsi="Arial" w:cs="Arial"/>
          <w:color w:val="000000" w:themeColor="text1"/>
          <w:sz w:val="24"/>
          <w:szCs w:val="24"/>
          <w:lang w:eastAsia="es-CO"/>
        </w:rPr>
        <w:t xml:space="preserve"> (ver: </w:t>
      </w:r>
      <w:hyperlink r:id="rId8" w:history="1">
        <w:r w:rsidRPr="00C0506E">
          <w:rPr>
            <w:rStyle w:val="Hipervnculo"/>
            <w:rFonts w:ascii="Arial" w:eastAsia="Times New Roman" w:hAnsi="Arial" w:cs="Arial"/>
            <w:sz w:val="24"/>
            <w:szCs w:val="24"/>
            <w:lang w:eastAsia="es-CO"/>
          </w:rPr>
          <w:t>https://community.secop.gov.co/Public/App/AnnualPurchasingPlanEditPublic/View?id=644054</w:t>
        </w:r>
      </w:hyperlink>
      <w:r w:rsidRPr="00C0506E">
        <w:rPr>
          <w:rFonts w:ascii="Arial" w:eastAsia="Times New Roman" w:hAnsi="Arial" w:cs="Arial"/>
          <w:color w:val="000000" w:themeColor="text1"/>
          <w:sz w:val="24"/>
          <w:szCs w:val="24"/>
          <w:lang w:eastAsia="es-CO"/>
        </w:rPr>
        <w:t xml:space="preserve"> )</w:t>
      </w:r>
    </w:p>
    <w:p w14:paraId="4282C6B5" w14:textId="77777777" w:rsidR="00D3632C" w:rsidRPr="00C0506E" w:rsidRDefault="00D3632C" w:rsidP="00BA0096">
      <w:pPr>
        <w:shd w:val="clear" w:color="auto" w:fill="FFFFFF"/>
        <w:spacing w:after="0"/>
        <w:ind w:left="708"/>
        <w:jc w:val="both"/>
        <w:rPr>
          <w:rFonts w:ascii="Arial" w:eastAsia="Times New Roman" w:hAnsi="Arial" w:cs="Arial"/>
          <w:color w:val="000000" w:themeColor="text1"/>
          <w:sz w:val="24"/>
          <w:szCs w:val="24"/>
          <w:lang w:eastAsia="es-CO"/>
        </w:rPr>
      </w:pPr>
    </w:p>
    <w:p w14:paraId="1C0F8DB2" w14:textId="77777777" w:rsidR="00A40E4F" w:rsidRPr="00C0506E" w:rsidRDefault="00A40E4F" w:rsidP="00A40E4F">
      <w:pPr>
        <w:pStyle w:val="Prrafodelista"/>
        <w:numPr>
          <w:ilvl w:val="0"/>
          <w:numId w:val="4"/>
        </w:numPr>
        <w:spacing w:after="0"/>
        <w:rPr>
          <w:rFonts w:ascii="Arial" w:hAnsi="Arial" w:cs="Arial"/>
          <w:b/>
          <w:sz w:val="24"/>
          <w:szCs w:val="24"/>
        </w:rPr>
      </w:pPr>
      <w:r w:rsidRPr="00C0506E">
        <w:rPr>
          <w:rFonts w:ascii="Arial" w:hAnsi="Arial" w:cs="Arial"/>
          <w:b/>
          <w:sz w:val="24"/>
          <w:szCs w:val="24"/>
        </w:rPr>
        <w:t xml:space="preserve">RECOMENDACIONES </w:t>
      </w:r>
    </w:p>
    <w:p w14:paraId="1BBBB790" w14:textId="77777777" w:rsidR="00A40E4F" w:rsidRPr="00C0506E" w:rsidRDefault="00A40E4F" w:rsidP="00A40E4F">
      <w:pPr>
        <w:pStyle w:val="Prrafodelista"/>
        <w:spacing w:after="0"/>
        <w:rPr>
          <w:rFonts w:ascii="Arial" w:hAnsi="Arial" w:cs="Arial"/>
          <w:b/>
          <w:sz w:val="24"/>
          <w:szCs w:val="24"/>
        </w:rPr>
      </w:pPr>
    </w:p>
    <w:p w14:paraId="501B34E0" w14:textId="3F23980E" w:rsidR="001C2327" w:rsidRPr="00C0506E" w:rsidRDefault="001C2327" w:rsidP="001C2327">
      <w:pPr>
        <w:pStyle w:val="Prrafodelista"/>
        <w:numPr>
          <w:ilvl w:val="0"/>
          <w:numId w:val="8"/>
        </w:numPr>
        <w:spacing w:after="0"/>
        <w:jc w:val="both"/>
        <w:rPr>
          <w:rFonts w:ascii="Arial" w:hAnsi="Arial" w:cs="Arial"/>
          <w:sz w:val="24"/>
          <w:szCs w:val="24"/>
        </w:rPr>
      </w:pPr>
      <w:r w:rsidRPr="00C0506E">
        <w:rPr>
          <w:rFonts w:ascii="Arial" w:hAnsi="Arial" w:cs="Arial"/>
          <w:b/>
          <w:bCs/>
          <w:sz w:val="24"/>
          <w:szCs w:val="24"/>
        </w:rPr>
        <w:t>Implementar un cruce automático y periódico de información</w:t>
      </w:r>
      <w:r w:rsidRPr="00C0506E">
        <w:rPr>
          <w:rFonts w:ascii="Arial" w:hAnsi="Arial" w:cs="Arial"/>
          <w:sz w:val="24"/>
          <w:szCs w:val="24"/>
        </w:rPr>
        <w:t xml:space="preserve"> entre el registro interno de contratos, Gestión Transparente y SECOP II, de manera que se detecten diferencias de forma temprana y se mitiguen brechas como los 37 procesos no publicados identificados.</w:t>
      </w:r>
    </w:p>
    <w:p w14:paraId="5B0FDB5B" w14:textId="77777777" w:rsidR="001C2327" w:rsidRPr="00C0506E" w:rsidRDefault="001C2327" w:rsidP="001C2327">
      <w:pPr>
        <w:pStyle w:val="Prrafodelista"/>
        <w:spacing w:after="0"/>
        <w:jc w:val="both"/>
        <w:rPr>
          <w:rFonts w:ascii="Arial" w:hAnsi="Arial" w:cs="Arial"/>
          <w:sz w:val="24"/>
          <w:szCs w:val="24"/>
        </w:rPr>
      </w:pPr>
    </w:p>
    <w:p w14:paraId="28346464" w14:textId="3AA3A929" w:rsidR="001C2327" w:rsidRPr="002516DE" w:rsidRDefault="001C2327" w:rsidP="00D3632C">
      <w:pPr>
        <w:pStyle w:val="Prrafodelista"/>
        <w:numPr>
          <w:ilvl w:val="0"/>
          <w:numId w:val="8"/>
        </w:numPr>
        <w:spacing w:after="0"/>
        <w:jc w:val="both"/>
        <w:rPr>
          <w:rFonts w:ascii="Arial" w:hAnsi="Arial" w:cs="Arial"/>
          <w:sz w:val="24"/>
          <w:szCs w:val="24"/>
        </w:rPr>
      </w:pPr>
      <w:r w:rsidRPr="00C0506E">
        <w:rPr>
          <w:rFonts w:ascii="Arial" w:hAnsi="Arial" w:cs="Arial"/>
          <w:sz w:val="24"/>
          <w:szCs w:val="24"/>
        </w:rPr>
        <w:t>Se recomienda a la dependencia asegurar que la información requerida sea suministrada al evaluador independiente de manera completa, ordenada y conforme a los criterios solicitados. Esto resulta especialmente relevante considerando lo establecido en el literal d) del artículo 3 de la Ley 87 de 1993, según el cual el evaluador, en su labor independiente, debe formular recomendaciones orientadas al mejoramiento del proceso. En consecuencia, la entrega oportuna y exhaustiva de la información es fundamental, particularmente respecto de la base de datos que contiene los contratos con modificaciones, como adiciones, prórrogas, suspensiones o terminaciones anticipadas.</w:t>
      </w:r>
    </w:p>
    <w:p w14:paraId="73DB392F" w14:textId="77777777" w:rsidR="00D3632C" w:rsidRPr="00C0506E" w:rsidRDefault="00D3632C" w:rsidP="00D3632C">
      <w:pPr>
        <w:spacing w:after="0"/>
        <w:jc w:val="both"/>
        <w:rPr>
          <w:rFonts w:ascii="Arial" w:hAnsi="Arial" w:cs="Arial"/>
          <w:b/>
          <w:sz w:val="24"/>
          <w:szCs w:val="24"/>
        </w:rPr>
      </w:pPr>
    </w:p>
    <w:p w14:paraId="75B74DBF" w14:textId="77777777" w:rsidR="003005EF" w:rsidRPr="00C0506E" w:rsidRDefault="003005EF" w:rsidP="00A40E4F">
      <w:pPr>
        <w:pStyle w:val="Prrafodelista"/>
        <w:numPr>
          <w:ilvl w:val="0"/>
          <w:numId w:val="4"/>
        </w:numPr>
        <w:spacing w:after="0"/>
        <w:jc w:val="both"/>
        <w:rPr>
          <w:rFonts w:ascii="Arial" w:hAnsi="Arial" w:cs="Arial"/>
          <w:b/>
          <w:sz w:val="24"/>
          <w:szCs w:val="24"/>
        </w:rPr>
      </w:pPr>
      <w:r w:rsidRPr="00C0506E">
        <w:rPr>
          <w:rFonts w:ascii="Arial" w:hAnsi="Arial" w:cs="Arial"/>
          <w:b/>
          <w:sz w:val="24"/>
          <w:szCs w:val="24"/>
        </w:rPr>
        <w:t xml:space="preserve">CONCLUSIONES </w:t>
      </w:r>
    </w:p>
    <w:p w14:paraId="379F85A5" w14:textId="77777777" w:rsidR="0028508D" w:rsidRPr="00C0506E" w:rsidRDefault="0028508D" w:rsidP="001C2327">
      <w:pPr>
        <w:spacing w:after="0"/>
        <w:jc w:val="both"/>
        <w:rPr>
          <w:rFonts w:ascii="Arial" w:hAnsi="Arial" w:cs="Arial"/>
          <w:b/>
          <w:sz w:val="24"/>
          <w:szCs w:val="24"/>
        </w:rPr>
      </w:pPr>
    </w:p>
    <w:p w14:paraId="2A651604" w14:textId="1C9D81DB" w:rsidR="001C2327" w:rsidRPr="00C0506E" w:rsidRDefault="001C2327" w:rsidP="001C2327">
      <w:pPr>
        <w:pStyle w:val="Prrafodelista"/>
        <w:numPr>
          <w:ilvl w:val="0"/>
          <w:numId w:val="9"/>
        </w:numPr>
        <w:spacing w:after="0"/>
        <w:jc w:val="both"/>
        <w:rPr>
          <w:rFonts w:ascii="Arial" w:hAnsi="Arial" w:cs="Arial"/>
          <w:bCs/>
          <w:sz w:val="24"/>
          <w:szCs w:val="24"/>
        </w:rPr>
      </w:pPr>
      <w:r w:rsidRPr="00C0506E">
        <w:rPr>
          <w:rFonts w:ascii="Arial" w:hAnsi="Arial" w:cs="Arial"/>
          <w:bCs/>
          <w:sz w:val="24"/>
          <w:szCs w:val="24"/>
        </w:rPr>
        <w:t>La Institución Universitaria Pascual Bravo demuestra un nivel adecuado de cumplimiento en la publicación de la contratación en SECOP II, en Gestión Transparente y en la gestión del Plan Anual de Adquisiciones correspondiente al primer semestre de 2025, atendiendo lo dispuesto en la Ley 1150 de 2011 y el Decreto 1082 de 2015.</w:t>
      </w:r>
    </w:p>
    <w:p w14:paraId="04B74D84" w14:textId="77777777" w:rsidR="001C2327" w:rsidRPr="00C0506E" w:rsidRDefault="001C2327" w:rsidP="001C2327">
      <w:pPr>
        <w:pStyle w:val="Prrafodelista"/>
        <w:spacing w:after="0"/>
        <w:jc w:val="both"/>
        <w:rPr>
          <w:rFonts w:ascii="Arial" w:hAnsi="Arial" w:cs="Arial"/>
          <w:bCs/>
          <w:sz w:val="24"/>
          <w:szCs w:val="24"/>
        </w:rPr>
      </w:pPr>
    </w:p>
    <w:p w14:paraId="245F04DF" w14:textId="5B1E6A1B" w:rsidR="001C2327" w:rsidRPr="00C0506E" w:rsidRDefault="001C2327" w:rsidP="001C2327">
      <w:pPr>
        <w:pStyle w:val="Prrafodelista"/>
        <w:numPr>
          <w:ilvl w:val="0"/>
          <w:numId w:val="9"/>
        </w:numPr>
        <w:spacing w:after="0"/>
        <w:jc w:val="both"/>
        <w:rPr>
          <w:rFonts w:ascii="Arial" w:hAnsi="Arial" w:cs="Arial"/>
          <w:bCs/>
          <w:sz w:val="24"/>
          <w:szCs w:val="24"/>
        </w:rPr>
      </w:pPr>
      <w:r w:rsidRPr="00C0506E">
        <w:rPr>
          <w:rFonts w:ascii="Arial" w:hAnsi="Arial" w:cs="Arial"/>
          <w:bCs/>
          <w:sz w:val="24"/>
          <w:szCs w:val="24"/>
        </w:rPr>
        <w:t>Se identifican diferencias significativas entre la información verificada en las plataformas oficiales. La verificación evidencia 2.585 procesos publicados y 2.622 contratos rendidos en Gestión Transparente, lo que revela una discrepancia de 37 procesos no publicados en SECOP II durante la vigencia evaluada.</w:t>
      </w:r>
    </w:p>
    <w:p w14:paraId="0CC75F1B" w14:textId="77777777" w:rsidR="001C2327" w:rsidRPr="00C0506E" w:rsidRDefault="001C2327" w:rsidP="001C2327">
      <w:pPr>
        <w:pStyle w:val="Prrafodelista"/>
        <w:rPr>
          <w:rFonts w:ascii="Arial" w:hAnsi="Arial" w:cs="Arial"/>
          <w:bCs/>
          <w:sz w:val="24"/>
          <w:szCs w:val="24"/>
        </w:rPr>
      </w:pPr>
    </w:p>
    <w:p w14:paraId="0824F493" w14:textId="4156217D" w:rsidR="001C2327" w:rsidRPr="00C0506E" w:rsidRDefault="001C2327" w:rsidP="001C2327">
      <w:pPr>
        <w:pStyle w:val="Prrafodelista"/>
        <w:numPr>
          <w:ilvl w:val="0"/>
          <w:numId w:val="9"/>
        </w:numPr>
        <w:spacing w:after="0"/>
        <w:jc w:val="both"/>
        <w:rPr>
          <w:rFonts w:ascii="Arial" w:hAnsi="Arial" w:cs="Arial"/>
          <w:bCs/>
          <w:sz w:val="24"/>
          <w:szCs w:val="24"/>
        </w:rPr>
      </w:pPr>
      <w:r w:rsidRPr="00C0506E">
        <w:rPr>
          <w:rFonts w:ascii="Arial" w:hAnsi="Arial" w:cs="Arial"/>
          <w:bCs/>
          <w:sz w:val="24"/>
          <w:szCs w:val="24"/>
        </w:rPr>
        <w:t>De los 416 contratos que registraron adiciones, prórrogas, suspensiones o terminaciones anticipadas, únicamente 258 cuentan con el enlace que evidencia su rendición en Gestión Transparente. Adicionalmente, se identifican tres casos en los que no se realizó rendición de cuentas en las vigencias correspondientes, evidenciando oportunidades de mejora en el control y la trazabilidad de estas modificaciones contractuales.</w:t>
      </w:r>
    </w:p>
    <w:p w14:paraId="4A4C8500" w14:textId="77777777" w:rsidR="001C2327" w:rsidRPr="00C0506E" w:rsidRDefault="001C2327" w:rsidP="001C2327">
      <w:pPr>
        <w:pStyle w:val="Prrafodelista"/>
        <w:rPr>
          <w:rFonts w:ascii="Arial" w:hAnsi="Arial" w:cs="Arial"/>
          <w:bCs/>
          <w:sz w:val="24"/>
          <w:szCs w:val="24"/>
        </w:rPr>
      </w:pPr>
    </w:p>
    <w:p w14:paraId="7ACDF568" w14:textId="2F46431C" w:rsidR="001C2327" w:rsidRPr="00C0506E" w:rsidRDefault="001C2327" w:rsidP="001C2327">
      <w:pPr>
        <w:pStyle w:val="Prrafodelista"/>
        <w:numPr>
          <w:ilvl w:val="0"/>
          <w:numId w:val="9"/>
        </w:numPr>
        <w:spacing w:after="0"/>
        <w:jc w:val="both"/>
        <w:rPr>
          <w:rFonts w:ascii="Arial" w:hAnsi="Arial" w:cs="Arial"/>
          <w:bCs/>
          <w:sz w:val="24"/>
          <w:szCs w:val="24"/>
        </w:rPr>
      </w:pPr>
      <w:r w:rsidRPr="00C0506E">
        <w:rPr>
          <w:rFonts w:ascii="Arial" w:hAnsi="Arial" w:cs="Arial"/>
          <w:bCs/>
          <w:sz w:val="24"/>
          <w:szCs w:val="24"/>
        </w:rPr>
        <w:t>La dependencia presenta información clara y ordenada sobre la operación de la Junta, evidenciando 48 sesiones realizadas entre enero y junio de 2025, con una periodicidad semanal y equilibrio entre sesiones ordinarias (28) y extraordinarias (20).</w:t>
      </w:r>
    </w:p>
    <w:p w14:paraId="46429CA2" w14:textId="77777777" w:rsidR="001C2327" w:rsidRPr="00C0506E" w:rsidRDefault="001C2327" w:rsidP="001C2327">
      <w:pPr>
        <w:pStyle w:val="Prrafodelista"/>
        <w:rPr>
          <w:rFonts w:ascii="Arial" w:hAnsi="Arial" w:cs="Arial"/>
          <w:bCs/>
          <w:sz w:val="24"/>
          <w:szCs w:val="24"/>
        </w:rPr>
      </w:pPr>
    </w:p>
    <w:p w14:paraId="053B1288" w14:textId="2A7AE451" w:rsidR="001C2327" w:rsidRPr="00C0506E" w:rsidRDefault="001C2327" w:rsidP="001C2327">
      <w:pPr>
        <w:pStyle w:val="Prrafodelista"/>
        <w:numPr>
          <w:ilvl w:val="0"/>
          <w:numId w:val="9"/>
        </w:numPr>
        <w:spacing w:after="0"/>
        <w:jc w:val="both"/>
        <w:rPr>
          <w:rFonts w:ascii="Arial" w:hAnsi="Arial" w:cs="Arial"/>
          <w:bCs/>
          <w:sz w:val="24"/>
          <w:szCs w:val="24"/>
        </w:rPr>
      </w:pPr>
      <w:r w:rsidRPr="00C0506E">
        <w:rPr>
          <w:rFonts w:ascii="Arial" w:hAnsi="Arial" w:cs="Arial"/>
          <w:bCs/>
          <w:sz w:val="24"/>
          <w:szCs w:val="24"/>
        </w:rPr>
        <w:t>Se verifica una administración oportuna y conforme a la normativa del Plan Anual de Adquisiciones, evidenciando su publicación inicial, sus respectivas actualizaciones y la trazabilidad de sus modificaciones en los sistemas oficiales.</w:t>
      </w:r>
    </w:p>
    <w:p w14:paraId="0F2D3176" w14:textId="77777777" w:rsidR="001C2327" w:rsidRPr="002516DE" w:rsidRDefault="001C2327" w:rsidP="002516DE">
      <w:pPr>
        <w:spacing w:after="0"/>
        <w:jc w:val="both"/>
        <w:rPr>
          <w:rFonts w:ascii="Arial" w:hAnsi="Arial" w:cs="Arial"/>
          <w:b/>
          <w:sz w:val="24"/>
          <w:szCs w:val="24"/>
        </w:rPr>
      </w:pPr>
    </w:p>
    <w:p w14:paraId="58AF610D" w14:textId="77777777" w:rsidR="0006682A" w:rsidRPr="00C0506E" w:rsidRDefault="0006682A" w:rsidP="0006682A">
      <w:pPr>
        <w:spacing w:after="0"/>
        <w:jc w:val="both"/>
        <w:rPr>
          <w:rFonts w:ascii="Arial" w:hAnsi="Arial" w:cs="Arial"/>
          <w:b/>
          <w:sz w:val="24"/>
          <w:szCs w:val="24"/>
        </w:rPr>
      </w:pPr>
    </w:p>
    <w:p w14:paraId="5B2B0716" w14:textId="77777777" w:rsidR="0006682A" w:rsidRPr="00C0506E" w:rsidRDefault="0006682A" w:rsidP="0006682A">
      <w:pPr>
        <w:spacing w:after="0"/>
        <w:jc w:val="both"/>
        <w:rPr>
          <w:rFonts w:ascii="Arial" w:hAnsi="Arial" w:cs="Arial"/>
          <w:sz w:val="24"/>
          <w:szCs w:val="24"/>
        </w:rPr>
      </w:pPr>
      <w:r w:rsidRPr="00C0506E">
        <w:rPr>
          <w:rFonts w:ascii="Arial" w:hAnsi="Arial" w:cs="Arial"/>
          <w:sz w:val="24"/>
          <w:szCs w:val="24"/>
        </w:rPr>
        <w:t>Cordialmente,</w:t>
      </w:r>
    </w:p>
    <w:p w14:paraId="1CBBCF41" w14:textId="77777777" w:rsidR="0006682A" w:rsidRPr="00C0506E" w:rsidRDefault="0006682A" w:rsidP="00A40E4F">
      <w:pPr>
        <w:spacing w:after="0"/>
        <w:jc w:val="both"/>
        <w:rPr>
          <w:rFonts w:ascii="Arial" w:hAnsi="Arial" w:cs="Arial"/>
          <w:b/>
          <w:sz w:val="24"/>
          <w:szCs w:val="24"/>
        </w:rPr>
      </w:pPr>
    </w:p>
    <w:p w14:paraId="6C0AB88B" w14:textId="77777777" w:rsidR="0006682A" w:rsidRPr="00C0506E" w:rsidRDefault="0006682A" w:rsidP="00A40E4F">
      <w:pPr>
        <w:spacing w:after="0"/>
        <w:jc w:val="both"/>
        <w:rPr>
          <w:rFonts w:ascii="Arial" w:hAnsi="Arial" w:cs="Arial"/>
          <w:b/>
          <w:sz w:val="24"/>
          <w:szCs w:val="24"/>
        </w:rPr>
      </w:pPr>
    </w:p>
    <w:p w14:paraId="725694B8" w14:textId="77777777" w:rsidR="00E214D5" w:rsidRPr="00C0506E" w:rsidRDefault="00E214D5" w:rsidP="00A40E4F">
      <w:pPr>
        <w:spacing w:after="0"/>
        <w:jc w:val="both"/>
        <w:rPr>
          <w:rFonts w:ascii="Arial" w:hAnsi="Arial" w:cs="Arial"/>
          <w:b/>
          <w:sz w:val="24"/>
          <w:szCs w:val="24"/>
        </w:rPr>
      </w:pPr>
    </w:p>
    <w:p w14:paraId="7E944A28" w14:textId="77777777" w:rsidR="00E214D5" w:rsidRPr="00C0506E" w:rsidRDefault="00E214D5" w:rsidP="00A40E4F">
      <w:pPr>
        <w:spacing w:after="0"/>
        <w:jc w:val="both"/>
        <w:rPr>
          <w:rFonts w:ascii="Arial" w:hAnsi="Arial" w:cs="Arial"/>
          <w:b/>
          <w:sz w:val="24"/>
          <w:szCs w:val="24"/>
        </w:rPr>
      </w:pPr>
    </w:p>
    <w:p w14:paraId="2DE429B5" w14:textId="3756A069" w:rsidR="00C0506E" w:rsidRDefault="00C0506E" w:rsidP="0006682A">
      <w:pPr>
        <w:spacing w:after="0"/>
        <w:jc w:val="both"/>
        <w:rPr>
          <w:rFonts w:ascii="Arial" w:hAnsi="Arial" w:cs="Arial"/>
          <w:b/>
          <w:sz w:val="24"/>
          <w:szCs w:val="24"/>
        </w:rPr>
      </w:pPr>
      <w:r w:rsidRPr="00C0506E">
        <w:rPr>
          <w:rFonts w:ascii="Arial" w:hAnsi="Arial" w:cs="Arial"/>
          <w:b/>
          <w:sz w:val="24"/>
          <w:szCs w:val="24"/>
        </w:rPr>
        <w:t>WILLIAM ECHAVARRÍA LOTERO</w:t>
      </w:r>
    </w:p>
    <w:p w14:paraId="53387C0C" w14:textId="134AA985" w:rsidR="0006682A" w:rsidRPr="00C0506E" w:rsidRDefault="0006682A" w:rsidP="0006682A">
      <w:pPr>
        <w:spacing w:after="0"/>
        <w:jc w:val="both"/>
        <w:rPr>
          <w:rFonts w:ascii="Arial" w:hAnsi="Arial" w:cs="Arial"/>
          <w:sz w:val="24"/>
          <w:szCs w:val="24"/>
        </w:rPr>
      </w:pPr>
      <w:r w:rsidRPr="00C0506E">
        <w:rPr>
          <w:rFonts w:ascii="Arial" w:hAnsi="Arial" w:cs="Arial"/>
          <w:sz w:val="24"/>
          <w:szCs w:val="24"/>
        </w:rPr>
        <w:t xml:space="preserve">Jefe </w:t>
      </w:r>
      <w:r w:rsidR="002516DE">
        <w:rPr>
          <w:rFonts w:ascii="Arial" w:hAnsi="Arial" w:cs="Arial"/>
          <w:sz w:val="24"/>
          <w:szCs w:val="24"/>
        </w:rPr>
        <w:t>de la Dirección</w:t>
      </w:r>
      <w:r w:rsidRPr="00C0506E">
        <w:rPr>
          <w:rFonts w:ascii="Arial" w:hAnsi="Arial" w:cs="Arial"/>
          <w:sz w:val="24"/>
          <w:szCs w:val="24"/>
        </w:rPr>
        <w:t xml:space="preserve"> de Evaluación y Control</w:t>
      </w:r>
    </w:p>
    <w:p w14:paraId="38FBB5B9" w14:textId="77777777" w:rsidR="00E214D5" w:rsidRPr="00C0506E" w:rsidRDefault="00E214D5" w:rsidP="0006682A">
      <w:pPr>
        <w:spacing w:after="0"/>
        <w:jc w:val="both"/>
        <w:rPr>
          <w:rFonts w:ascii="Arial" w:hAnsi="Arial" w:cs="Arial"/>
          <w:sz w:val="24"/>
          <w:szCs w:val="24"/>
        </w:rPr>
      </w:pPr>
    </w:p>
    <w:tbl>
      <w:tblPr>
        <w:tblStyle w:val="Tablaconcuadrcula"/>
        <w:tblW w:w="9493" w:type="dxa"/>
        <w:tblLook w:val="04A0" w:firstRow="1" w:lastRow="0" w:firstColumn="1" w:lastColumn="0" w:noHBand="0" w:noVBand="1"/>
      </w:tblPr>
      <w:tblGrid>
        <w:gridCol w:w="1271"/>
        <w:gridCol w:w="5387"/>
        <w:gridCol w:w="2835"/>
      </w:tblGrid>
      <w:tr w:rsidR="0006682A" w:rsidRPr="00C0506E" w14:paraId="51ADAAF9" w14:textId="77777777" w:rsidTr="00E214D5">
        <w:tc>
          <w:tcPr>
            <w:tcW w:w="1271" w:type="dxa"/>
            <w:vMerge w:val="restart"/>
          </w:tcPr>
          <w:p w14:paraId="2B773A1F" w14:textId="77777777" w:rsidR="0006682A" w:rsidRPr="00C0506E" w:rsidRDefault="0006682A" w:rsidP="0006682A">
            <w:pPr>
              <w:rPr>
                <w:rFonts w:ascii="Arial" w:hAnsi="Arial" w:cs="Arial"/>
                <w:b/>
                <w:sz w:val="24"/>
                <w:szCs w:val="24"/>
              </w:rPr>
            </w:pPr>
          </w:p>
          <w:p w14:paraId="17FD8EC8" w14:textId="77777777" w:rsidR="0006682A" w:rsidRPr="00C0506E" w:rsidRDefault="0006682A" w:rsidP="0006682A">
            <w:pPr>
              <w:rPr>
                <w:rFonts w:ascii="Arial" w:hAnsi="Arial" w:cs="Arial"/>
                <w:b/>
                <w:sz w:val="24"/>
                <w:szCs w:val="24"/>
              </w:rPr>
            </w:pPr>
            <w:r w:rsidRPr="00C0506E">
              <w:rPr>
                <w:rFonts w:ascii="Arial" w:hAnsi="Arial" w:cs="Arial"/>
                <w:b/>
                <w:sz w:val="24"/>
                <w:szCs w:val="24"/>
              </w:rPr>
              <w:t>Proyecto</w:t>
            </w:r>
          </w:p>
        </w:tc>
        <w:tc>
          <w:tcPr>
            <w:tcW w:w="5387" w:type="dxa"/>
          </w:tcPr>
          <w:p w14:paraId="755B4820" w14:textId="77777777" w:rsidR="0006682A" w:rsidRPr="00C0506E" w:rsidRDefault="0006682A" w:rsidP="00E214D5">
            <w:pPr>
              <w:jc w:val="center"/>
              <w:rPr>
                <w:rFonts w:ascii="Arial" w:hAnsi="Arial" w:cs="Arial"/>
                <w:b/>
                <w:sz w:val="24"/>
                <w:szCs w:val="24"/>
              </w:rPr>
            </w:pPr>
            <w:r w:rsidRPr="00C0506E">
              <w:rPr>
                <w:rFonts w:ascii="Arial" w:hAnsi="Arial" w:cs="Arial"/>
                <w:b/>
                <w:sz w:val="24"/>
                <w:szCs w:val="24"/>
              </w:rPr>
              <w:t>Nombre y cargo</w:t>
            </w:r>
          </w:p>
        </w:tc>
        <w:tc>
          <w:tcPr>
            <w:tcW w:w="2835" w:type="dxa"/>
          </w:tcPr>
          <w:p w14:paraId="49EAD9AD" w14:textId="77777777" w:rsidR="0006682A" w:rsidRPr="00C0506E" w:rsidRDefault="0006682A" w:rsidP="00E214D5">
            <w:pPr>
              <w:jc w:val="center"/>
              <w:rPr>
                <w:rFonts w:ascii="Arial" w:hAnsi="Arial" w:cs="Arial"/>
                <w:b/>
                <w:sz w:val="24"/>
                <w:szCs w:val="24"/>
              </w:rPr>
            </w:pPr>
            <w:r w:rsidRPr="00C0506E">
              <w:rPr>
                <w:rFonts w:ascii="Arial" w:hAnsi="Arial" w:cs="Arial"/>
                <w:b/>
                <w:sz w:val="24"/>
                <w:szCs w:val="24"/>
              </w:rPr>
              <w:t>Firma</w:t>
            </w:r>
          </w:p>
        </w:tc>
      </w:tr>
      <w:tr w:rsidR="0006682A" w:rsidRPr="00C0506E" w14:paraId="3EDFD8A9" w14:textId="77777777" w:rsidTr="00E214D5">
        <w:tc>
          <w:tcPr>
            <w:tcW w:w="1271" w:type="dxa"/>
            <w:vMerge/>
          </w:tcPr>
          <w:p w14:paraId="0E84E63B" w14:textId="77777777" w:rsidR="0006682A" w:rsidRPr="00C0506E" w:rsidRDefault="0006682A" w:rsidP="0006682A">
            <w:pPr>
              <w:rPr>
                <w:rFonts w:ascii="Arial" w:hAnsi="Arial" w:cs="Arial"/>
                <w:b/>
                <w:sz w:val="24"/>
                <w:szCs w:val="24"/>
              </w:rPr>
            </w:pPr>
          </w:p>
        </w:tc>
        <w:tc>
          <w:tcPr>
            <w:tcW w:w="5387" w:type="dxa"/>
          </w:tcPr>
          <w:p w14:paraId="1B811BC2" w14:textId="5573F681" w:rsidR="0006682A" w:rsidRPr="00C0506E" w:rsidRDefault="0028508D" w:rsidP="0006682A">
            <w:pPr>
              <w:rPr>
                <w:rFonts w:ascii="Arial" w:hAnsi="Arial" w:cs="Arial"/>
                <w:bCs/>
                <w:sz w:val="24"/>
                <w:szCs w:val="24"/>
              </w:rPr>
            </w:pPr>
            <w:r w:rsidRPr="00C0506E">
              <w:rPr>
                <w:rFonts w:ascii="Arial" w:hAnsi="Arial" w:cs="Arial"/>
                <w:bCs/>
                <w:sz w:val="24"/>
                <w:szCs w:val="24"/>
              </w:rPr>
              <w:t>César Augusto Bedoya Ramírez</w:t>
            </w:r>
            <w:r w:rsidR="002516DE">
              <w:rPr>
                <w:rFonts w:ascii="Arial" w:hAnsi="Arial" w:cs="Arial"/>
                <w:bCs/>
                <w:sz w:val="24"/>
                <w:szCs w:val="24"/>
              </w:rPr>
              <w:t xml:space="preserve"> – Contratista de apoyo </w:t>
            </w:r>
          </w:p>
        </w:tc>
        <w:tc>
          <w:tcPr>
            <w:tcW w:w="2835" w:type="dxa"/>
          </w:tcPr>
          <w:p w14:paraId="4312AF67" w14:textId="77777777" w:rsidR="0006682A" w:rsidRPr="00C0506E" w:rsidRDefault="0006682A" w:rsidP="0006682A">
            <w:pPr>
              <w:rPr>
                <w:rFonts w:ascii="Arial" w:hAnsi="Arial" w:cs="Arial"/>
                <w:b/>
                <w:sz w:val="24"/>
                <w:szCs w:val="24"/>
              </w:rPr>
            </w:pPr>
          </w:p>
        </w:tc>
      </w:tr>
      <w:tr w:rsidR="002516DE" w:rsidRPr="00C0506E" w14:paraId="21CD4CDF" w14:textId="77777777" w:rsidTr="00E214D5">
        <w:tc>
          <w:tcPr>
            <w:tcW w:w="1271" w:type="dxa"/>
          </w:tcPr>
          <w:p w14:paraId="2C87A7DC" w14:textId="77777777" w:rsidR="002516DE" w:rsidRPr="00C0506E" w:rsidRDefault="002516DE" w:rsidP="0006682A">
            <w:pPr>
              <w:rPr>
                <w:rFonts w:ascii="Arial" w:hAnsi="Arial" w:cs="Arial"/>
                <w:b/>
                <w:sz w:val="24"/>
                <w:szCs w:val="24"/>
              </w:rPr>
            </w:pPr>
            <w:r w:rsidRPr="00C0506E">
              <w:rPr>
                <w:rFonts w:ascii="Arial" w:hAnsi="Arial" w:cs="Arial"/>
                <w:b/>
                <w:sz w:val="24"/>
                <w:szCs w:val="24"/>
              </w:rPr>
              <w:t>Revisó</w:t>
            </w:r>
          </w:p>
        </w:tc>
        <w:tc>
          <w:tcPr>
            <w:tcW w:w="5387" w:type="dxa"/>
            <w:vMerge w:val="restart"/>
          </w:tcPr>
          <w:p w14:paraId="6B3F5BF1" w14:textId="1DFAF55F" w:rsidR="002516DE" w:rsidRPr="002516DE" w:rsidRDefault="002516DE" w:rsidP="0006682A">
            <w:pPr>
              <w:rPr>
                <w:rFonts w:ascii="Arial" w:hAnsi="Arial" w:cs="Arial"/>
                <w:bCs/>
                <w:sz w:val="24"/>
                <w:szCs w:val="24"/>
              </w:rPr>
            </w:pPr>
            <w:r w:rsidRPr="002516DE">
              <w:rPr>
                <w:rFonts w:ascii="Arial" w:hAnsi="Arial" w:cs="Arial"/>
                <w:bCs/>
                <w:sz w:val="24"/>
                <w:szCs w:val="24"/>
              </w:rPr>
              <w:t xml:space="preserve">William Echavarría Lotero </w:t>
            </w:r>
          </w:p>
        </w:tc>
        <w:tc>
          <w:tcPr>
            <w:tcW w:w="2835" w:type="dxa"/>
          </w:tcPr>
          <w:p w14:paraId="78B70F27" w14:textId="77777777" w:rsidR="002516DE" w:rsidRPr="00C0506E" w:rsidRDefault="002516DE" w:rsidP="0006682A">
            <w:pPr>
              <w:rPr>
                <w:rFonts w:ascii="Arial" w:hAnsi="Arial" w:cs="Arial"/>
                <w:b/>
                <w:sz w:val="24"/>
                <w:szCs w:val="24"/>
              </w:rPr>
            </w:pPr>
          </w:p>
        </w:tc>
      </w:tr>
      <w:tr w:rsidR="002516DE" w:rsidRPr="00C0506E" w14:paraId="5D7F33D6" w14:textId="77777777" w:rsidTr="00E214D5">
        <w:tc>
          <w:tcPr>
            <w:tcW w:w="1271" w:type="dxa"/>
          </w:tcPr>
          <w:p w14:paraId="5C0ACAAC" w14:textId="77777777" w:rsidR="002516DE" w:rsidRPr="00C0506E" w:rsidRDefault="002516DE" w:rsidP="0006682A">
            <w:pPr>
              <w:rPr>
                <w:rFonts w:ascii="Arial" w:hAnsi="Arial" w:cs="Arial"/>
                <w:b/>
                <w:sz w:val="24"/>
                <w:szCs w:val="24"/>
              </w:rPr>
            </w:pPr>
            <w:r w:rsidRPr="00C0506E">
              <w:rPr>
                <w:rFonts w:ascii="Arial" w:hAnsi="Arial" w:cs="Arial"/>
                <w:b/>
                <w:sz w:val="24"/>
                <w:szCs w:val="24"/>
              </w:rPr>
              <w:t xml:space="preserve">Aprobó </w:t>
            </w:r>
          </w:p>
        </w:tc>
        <w:tc>
          <w:tcPr>
            <w:tcW w:w="5387" w:type="dxa"/>
            <w:vMerge/>
          </w:tcPr>
          <w:p w14:paraId="250E0326" w14:textId="77777777" w:rsidR="002516DE" w:rsidRPr="00C0506E" w:rsidRDefault="002516DE" w:rsidP="0006682A">
            <w:pPr>
              <w:rPr>
                <w:rFonts w:ascii="Arial" w:hAnsi="Arial" w:cs="Arial"/>
                <w:b/>
                <w:sz w:val="24"/>
                <w:szCs w:val="24"/>
              </w:rPr>
            </w:pPr>
          </w:p>
        </w:tc>
        <w:tc>
          <w:tcPr>
            <w:tcW w:w="2835" w:type="dxa"/>
          </w:tcPr>
          <w:p w14:paraId="259B9A67" w14:textId="77777777" w:rsidR="002516DE" w:rsidRPr="00C0506E" w:rsidRDefault="002516DE" w:rsidP="0006682A">
            <w:pPr>
              <w:rPr>
                <w:rFonts w:ascii="Arial" w:hAnsi="Arial" w:cs="Arial"/>
                <w:b/>
                <w:sz w:val="24"/>
                <w:szCs w:val="24"/>
              </w:rPr>
            </w:pPr>
          </w:p>
        </w:tc>
      </w:tr>
    </w:tbl>
    <w:p w14:paraId="73F49173" w14:textId="77777777" w:rsidR="00F77A68" w:rsidRPr="00C0506E" w:rsidRDefault="00F77A68" w:rsidP="00F77A68">
      <w:pPr>
        <w:rPr>
          <w:rFonts w:ascii="Arial" w:hAnsi="Arial" w:cs="Arial"/>
          <w:sz w:val="24"/>
          <w:szCs w:val="24"/>
        </w:rPr>
      </w:pPr>
    </w:p>
    <w:sectPr w:rsidR="00F77A68" w:rsidRPr="00C0506E" w:rsidSect="0024232D">
      <w:headerReference w:type="default"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3D6F" w14:textId="77777777" w:rsidR="00C44404" w:rsidRDefault="00C44404" w:rsidP="00A40E4F">
      <w:pPr>
        <w:spacing w:after="0" w:line="240" w:lineRule="auto"/>
      </w:pPr>
      <w:r>
        <w:separator/>
      </w:r>
    </w:p>
  </w:endnote>
  <w:endnote w:type="continuationSeparator" w:id="0">
    <w:p w14:paraId="3CEAD821" w14:textId="77777777" w:rsidR="00C44404" w:rsidRDefault="00C44404" w:rsidP="00A4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A40E4F" w:rsidRPr="00A40E4F" w14:paraId="6BAAA6B6" w14:textId="77777777" w:rsidTr="00830B0F">
      <w:trPr>
        <w:jc w:val="center"/>
      </w:trPr>
      <w:tc>
        <w:tcPr>
          <w:tcW w:w="3652" w:type="dxa"/>
        </w:tcPr>
        <w:p w14:paraId="51C7445B"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64964A99" w14:textId="77777777" w:rsidR="00A40E4F" w:rsidRPr="00A40E4F" w:rsidRDefault="000835E5"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00A40E4F" w:rsidRPr="00A40E4F">
            <w:rPr>
              <w:rFonts w:ascii="Arial" w:eastAsia="Times New Roman" w:hAnsi="Arial" w:cs="Arial"/>
              <w:sz w:val="20"/>
              <w:szCs w:val="24"/>
              <w:lang w:eastAsia="x-none"/>
            </w:rPr>
            <w:t>de la Oficina Asesora de Evaluación y Control</w:t>
          </w:r>
        </w:p>
      </w:tc>
      <w:tc>
        <w:tcPr>
          <w:tcW w:w="2977" w:type="dxa"/>
        </w:tcPr>
        <w:p w14:paraId="74B8ACDD" w14:textId="77777777" w:rsidR="00A40E4F" w:rsidRPr="00A40E4F" w:rsidRDefault="00A40E4F" w:rsidP="00DF6F96">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sidR="00DF6F96">
            <w:rPr>
              <w:rFonts w:ascii="Arial" w:eastAsia="Times New Roman" w:hAnsi="Arial" w:cs="Arial"/>
              <w:sz w:val="20"/>
              <w:szCs w:val="24"/>
              <w:lang w:eastAsia="x-none"/>
            </w:rPr>
            <w:t xml:space="preserve">Alberto Flórez Arias/Contratista de Apoyo </w:t>
          </w:r>
        </w:p>
        <w:p w14:paraId="6BCC9FF4" w14:textId="77777777" w:rsidR="00A40E4F" w:rsidRPr="00A40E4F" w:rsidRDefault="00A40E4F" w:rsidP="00A40E4F">
          <w:pPr>
            <w:spacing w:after="0" w:line="240" w:lineRule="auto"/>
            <w:rPr>
              <w:rFonts w:ascii="Times New Roman" w:eastAsia="Times New Roman" w:hAnsi="Times New Roman" w:cs="Times New Roman"/>
              <w:sz w:val="24"/>
              <w:szCs w:val="24"/>
              <w:lang w:eastAsia="x-none"/>
            </w:rPr>
          </w:pPr>
        </w:p>
      </w:tc>
      <w:tc>
        <w:tcPr>
          <w:tcW w:w="3544" w:type="dxa"/>
        </w:tcPr>
        <w:p w14:paraId="242155A5"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2DDF541D" w14:textId="77777777" w:rsidR="00A40E4F" w:rsidRPr="00A40E4F" w:rsidRDefault="000835E5"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00A40E4F" w:rsidRPr="00A40E4F">
            <w:rPr>
              <w:rFonts w:ascii="Arial" w:eastAsia="Times New Roman" w:hAnsi="Arial" w:cs="Arial"/>
              <w:sz w:val="20"/>
              <w:szCs w:val="24"/>
              <w:lang w:eastAsia="x-none"/>
            </w:rPr>
            <w:t>/</w:t>
          </w:r>
          <w:r w:rsidR="00A40E4F" w:rsidRPr="00A40E4F">
            <w:rPr>
              <w:rFonts w:ascii="Arial" w:eastAsia="Times New Roman" w:hAnsi="Arial" w:cs="Arial"/>
              <w:b/>
              <w:sz w:val="20"/>
              <w:szCs w:val="24"/>
              <w:lang w:eastAsia="x-none"/>
            </w:rPr>
            <w:t xml:space="preserve"> </w:t>
          </w:r>
          <w:proofErr w:type="gramStart"/>
          <w:r w:rsidR="00A40E4F" w:rsidRPr="00A40E4F">
            <w:rPr>
              <w:rFonts w:ascii="Arial" w:eastAsia="Times New Roman" w:hAnsi="Arial" w:cs="Arial"/>
              <w:sz w:val="20"/>
              <w:szCs w:val="24"/>
              <w:lang w:eastAsia="x-none"/>
            </w:rPr>
            <w:t>Jefe</w:t>
          </w:r>
          <w:proofErr w:type="gramEnd"/>
          <w:r w:rsidR="00A40E4F" w:rsidRPr="00A40E4F">
            <w:rPr>
              <w:rFonts w:ascii="Arial" w:eastAsia="Times New Roman" w:hAnsi="Arial" w:cs="Arial"/>
              <w:sz w:val="20"/>
              <w:szCs w:val="24"/>
              <w:lang w:eastAsia="x-none"/>
            </w:rPr>
            <w:t xml:space="preserve"> Oficina Asesora de Evaluación y Control</w:t>
          </w:r>
        </w:p>
      </w:tc>
    </w:tr>
    <w:tr w:rsidR="00A40E4F" w:rsidRPr="00A40E4F" w14:paraId="370A68D8" w14:textId="77777777" w:rsidTr="00830B0F">
      <w:trPr>
        <w:jc w:val="center"/>
      </w:trPr>
      <w:tc>
        <w:tcPr>
          <w:tcW w:w="3652" w:type="dxa"/>
        </w:tcPr>
        <w:p w14:paraId="0CCA8D94"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sidR="000835E5">
            <w:rPr>
              <w:rFonts w:ascii="Arial" w:eastAsia="Times New Roman" w:hAnsi="Arial" w:cs="Arial"/>
              <w:sz w:val="20"/>
              <w:szCs w:val="20"/>
              <w:lang w:eastAsia="x-none"/>
            </w:rPr>
            <w:t>27/01/2022</w:t>
          </w:r>
        </w:p>
      </w:tc>
      <w:tc>
        <w:tcPr>
          <w:tcW w:w="2977" w:type="dxa"/>
        </w:tcPr>
        <w:p w14:paraId="51A62B2D" w14:textId="77777777" w:rsidR="00A40E4F" w:rsidRPr="00A40E4F" w:rsidRDefault="00A40E4F"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sidR="00F13B1A">
            <w:rPr>
              <w:rFonts w:ascii="Arial" w:eastAsia="Times New Roman" w:hAnsi="Arial" w:cs="Arial"/>
              <w:sz w:val="20"/>
              <w:szCs w:val="20"/>
              <w:lang w:eastAsia="x-none"/>
            </w:rPr>
            <w:t xml:space="preserve"> </w:t>
          </w:r>
          <w:r w:rsidR="003B7FC2" w:rsidRPr="003B7FC2">
            <w:rPr>
              <w:rFonts w:ascii="Arial" w:eastAsia="Times New Roman" w:hAnsi="Arial" w:cs="Arial"/>
              <w:sz w:val="20"/>
              <w:szCs w:val="20"/>
              <w:lang w:eastAsia="x-none"/>
            </w:rPr>
            <w:t>24</w:t>
          </w:r>
          <w:r w:rsidR="003B7FC2">
            <w:rPr>
              <w:rFonts w:ascii="Arial" w:eastAsia="Times New Roman" w:hAnsi="Arial" w:cs="Arial"/>
              <w:sz w:val="20"/>
              <w:szCs w:val="20"/>
              <w:lang w:eastAsia="x-none"/>
            </w:rPr>
            <w:t>/02/2022</w:t>
          </w:r>
        </w:p>
      </w:tc>
      <w:tc>
        <w:tcPr>
          <w:tcW w:w="3544" w:type="dxa"/>
        </w:tcPr>
        <w:p w14:paraId="6ED330F7" w14:textId="77777777" w:rsidR="00A40E4F" w:rsidRPr="00A40E4F" w:rsidRDefault="00A40E4F"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sidRPr="003B7FC2">
            <w:rPr>
              <w:rFonts w:ascii="Arial" w:eastAsia="Times New Roman" w:hAnsi="Arial" w:cs="Arial"/>
              <w:sz w:val="20"/>
              <w:szCs w:val="20"/>
              <w:lang w:eastAsia="x-none"/>
            </w:rPr>
            <w:t xml:space="preserve"> </w:t>
          </w:r>
          <w:r w:rsidR="003B7FC2" w:rsidRPr="003B7FC2">
            <w:rPr>
              <w:rFonts w:ascii="Arial" w:eastAsia="Times New Roman" w:hAnsi="Arial" w:cs="Arial"/>
              <w:sz w:val="20"/>
              <w:szCs w:val="20"/>
              <w:lang w:eastAsia="x-none"/>
            </w:rPr>
            <w:t>24</w:t>
          </w:r>
          <w:r w:rsidR="000835E5">
            <w:rPr>
              <w:rFonts w:ascii="Arial" w:eastAsia="Times New Roman" w:hAnsi="Arial" w:cs="Arial"/>
              <w:sz w:val="20"/>
              <w:szCs w:val="20"/>
              <w:lang w:eastAsia="x-none"/>
            </w:rPr>
            <w:t>/0</w:t>
          </w:r>
          <w:r w:rsidR="003B7FC2">
            <w:rPr>
              <w:rFonts w:ascii="Arial" w:eastAsia="Times New Roman" w:hAnsi="Arial" w:cs="Arial"/>
              <w:sz w:val="20"/>
              <w:szCs w:val="20"/>
              <w:lang w:eastAsia="x-none"/>
            </w:rPr>
            <w:t>2</w:t>
          </w:r>
          <w:r w:rsidR="000835E5">
            <w:rPr>
              <w:rFonts w:ascii="Arial" w:eastAsia="Times New Roman" w:hAnsi="Arial" w:cs="Arial"/>
              <w:sz w:val="20"/>
              <w:szCs w:val="20"/>
              <w:lang w:eastAsia="x-none"/>
            </w:rPr>
            <w:t>/2022</w:t>
          </w:r>
        </w:p>
      </w:tc>
    </w:tr>
  </w:tbl>
  <w:p w14:paraId="2564FCB7" w14:textId="77777777" w:rsidR="00A40E4F" w:rsidRDefault="00A40E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92CB" w14:textId="77777777" w:rsidR="00C44404" w:rsidRDefault="00C44404" w:rsidP="00A40E4F">
      <w:pPr>
        <w:spacing w:after="0" w:line="240" w:lineRule="auto"/>
      </w:pPr>
      <w:r>
        <w:separator/>
      </w:r>
    </w:p>
  </w:footnote>
  <w:footnote w:type="continuationSeparator" w:id="0">
    <w:p w14:paraId="52C1CE50" w14:textId="77777777" w:rsidR="00C44404" w:rsidRDefault="00C44404" w:rsidP="00A4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8B93" w14:textId="77777777" w:rsidR="00A40E4F" w:rsidRDefault="00A40E4F" w:rsidP="00A40E4F">
    <w:pPr>
      <w:pStyle w:val="Encabezado"/>
    </w:pPr>
    <w:r w:rsidRPr="004B2741">
      <w:rPr>
        <w:noProof/>
        <w:lang w:eastAsia="es-CO"/>
      </w:rPr>
      <w:drawing>
        <wp:inline distT="0" distB="0" distL="0" distR="0" wp14:anchorId="5031EB69" wp14:editId="2620F67C">
          <wp:extent cx="3381375" cy="942975"/>
          <wp:effectExtent l="0" t="0" r="9525" b="9525"/>
          <wp:docPr id="2" name="Imagen 2"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5A6F12" w:rsidRPr="00A40E4F" w14:paraId="0A2F0CE5" w14:textId="77777777" w:rsidTr="005A6F12">
      <w:trPr>
        <w:trHeight w:val="416"/>
        <w:jc w:val="center"/>
      </w:trPr>
      <w:tc>
        <w:tcPr>
          <w:tcW w:w="7763" w:type="dxa"/>
          <w:vMerge w:val="restart"/>
        </w:tcPr>
        <w:p w14:paraId="2A206D5B"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39100590" w14:textId="77777777" w:rsidR="005A6F12" w:rsidRDefault="005A6F12"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36B2466C"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tcPr>
        <w:p w14:paraId="7044604B"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sidR="0076497C">
            <w:rPr>
              <w:rFonts w:ascii="Arial" w:eastAsia="Times New Roman" w:hAnsi="Arial" w:cs="Times New Roman"/>
              <w:sz w:val="24"/>
              <w:szCs w:val="24"/>
              <w:lang w:val="es-ES" w:eastAsia="es-ES"/>
            </w:rPr>
            <w:t>28</w:t>
          </w:r>
          <w:r w:rsidRPr="00A40E4F">
            <w:rPr>
              <w:rFonts w:ascii="Arial" w:eastAsia="Times New Roman" w:hAnsi="Arial" w:cs="Times New Roman"/>
              <w:sz w:val="24"/>
              <w:szCs w:val="24"/>
              <w:lang w:val="es-ES" w:eastAsia="es-ES"/>
            </w:rPr>
            <w:t xml:space="preserve">                   </w:t>
          </w:r>
        </w:p>
      </w:tc>
    </w:tr>
    <w:tr w:rsidR="005A6F12" w:rsidRPr="00A40E4F" w14:paraId="058F3DD2" w14:textId="77777777" w:rsidTr="005A6F12">
      <w:trPr>
        <w:trHeight w:val="425"/>
        <w:jc w:val="center"/>
      </w:trPr>
      <w:tc>
        <w:tcPr>
          <w:tcW w:w="7763" w:type="dxa"/>
          <w:vMerge/>
        </w:tcPr>
        <w:p w14:paraId="4A0E532E"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tcPr>
        <w:p w14:paraId="2299E913"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sidR="003E686C">
            <w:rPr>
              <w:rFonts w:ascii="Arial" w:eastAsia="Times New Roman" w:hAnsi="Arial" w:cs="Times New Roman"/>
              <w:sz w:val="24"/>
              <w:szCs w:val="24"/>
              <w:lang w:val="es-ES" w:eastAsia="es-ES"/>
            </w:rPr>
            <w:t>2</w:t>
          </w:r>
        </w:p>
      </w:tc>
    </w:tr>
    <w:tr w:rsidR="005A6F12" w:rsidRPr="00A40E4F" w14:paraId="32FBFC28" w14:textId="77777777" w:rsidTr="005A6F12">
      <w:trPr>
        <w:trHeight w:val="417"/>
        <w:jc w:val="center"/>
      </w:trPr>
      <w:tc>
        <w:tcPr>
          <w:tcW w:w="7763" w:type="dxa"/>
          <w:vMerge/>
        </w:tcPr>
        <w:p w14:paraId="63435271"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tcPr>
        <w:p w14:paraId="28BE98E3"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3</w:t>
          </w:r>
        </w:p>
      </w:tc>
    </w:tr>
  </w:tbl>
  <w:p w14:paraId="08054D25" w14:textId="77777777" w:rsidR="00A40E4F" w:rsidRDefault="00A40E4F" w:rsidP="00A40E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ED5"/>
    <w:multiLevelType w:val="hybridMultilevel"/>
    <w:tmpl w:val="204C7A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FD05FA"/>
    <w:multiLevelType w:val="hybridMultilevel"/>
    <w:tmpl w:val="FCF87914"/>
    <w:lvl w:ilvl="0" w:tplc="B39E5B44">
      <w:start w:val="1"/>
      <w:numFmt w:val="decimal"/>
      <w:lvlText w:val="%1."/>
      <w:lvlJc w:val="left"/>
      <w:pPr>
        <w:ind w:left="114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 w15:restartNumberingAfterBreak="0">
    <w:nsid w:val="2DEE4A4D"/>
    <w:multiLevelType w:val="hybridMultilevel"/>
    <w:tmpl w:val="6C8A4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9C61D2"/>
    <w:multiLevelType w:val="hybridMultilevel"/>
    <w:tmpl w:val="12163EA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24B3B1D"/>
    <w:multiLevelType w:val="hybridMultilevel"/>
    <w:tmpl w:val="13CE200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6AF5096"/>
    <w:multiLevelType w:val="hybridMultilevel"/>
    <w:tmpl w:val="EBBC24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242BE4"/>
    <w:multiLevelType w:val="hybridMultilevel"/>
    <w:tmpl w:val="F0FA6A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D5E7B10"/>
    <w:multiLevelType w:val="hybridMultilevel"/>
    <w:tmpl w:val="45E01CD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8" w15:restartNumberingAfterBreak="0">
    <w:nsid w:val="78CC6E97"/>
    <w:multiLevelType w:val="hybridMultilevel"/>
    <w:tmpl w:val="A97227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40498947">
    <w:abstractNumId w:val="7"/>
  </w:num>
  <w:num w:numId="2" w16cid:durableId="1003122440">
    <w:abstractNumId w:val="1"/>
  </w:num>
  <w:num w:numId="3" w16cid:durableId="1223836185">
    <w:abstractNumId w:val="0"/>
  </w:num>
  <w:num w:numId="4" w16cid:durableId="1523976687">
    <w:abstractNumId w:val="5"/>
  </w:num>
  <w:num w:numId="5" w16cid:durableId="1941141224">
    <w:abstractNumId w:val="6"/>
  </w:num>
  <w:num w:numId="6" w16cid:durableId="99957737">
    <w:abstractNumId w:val="8"/>
  </w:num>
  <w:num w:numId="7" w16cid:durableId="103353638">
    <w:abstractNumId w:val="2"/>
  </w:num>
  <w:num w:numId="8" w16cid:durableId="1083255154">
    <w:abstractNumId w:val="3"/>
  </w:num>
  <w:num w:numId="9" w16cid:durableId="138197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2D"/>
    <w:rsid w:val="0002613E"/>
    <w:rsid w:val="00027E6E"/>
    <w:rsid w:val="0003077C"/>
    <w:rsid w:val="00047839"/>
    <w:rsid w:val="000661B0"/>
    <w:rsid w:val="0006682A"/>
    <w:rsid w:val="000700AF"/>
    <w:rsid w:val="000835E5"/>
    <w:rsid w:val="000851D3"/>
    <w:rsid w:val="00095684"/>
    <w:rsid w:val="000D23F2"/>
    <w:rsid w:val="00145412"/>
    <w:rsid w:val="001C2327"/>
    <w:rsid w:val="0024232D"/>
    <w:rsid w:val="002516DE"/>
    <w:rsid w:val="0028508D"/>
    <w:rsid w:val="002B2A6F"/>
    <w:rsid w:val="003005EF"/>
    <w:rsid w:val="00370D08"/>
    <w:rsid w:val="00370D23"/>
    <w:rsid w:val="00397185"/>
    <w:rsid w:val="003A1C14"/>
    <w:rsid w:val="003B5BEB"/>
    <w:rsid w:val="003B7FC2"/>
    <w:rsid w:val="003D3C0E"/>
    <w:rsid w:val="003D7837"/>
    <w:rsid w:val="003E686C"/>
    <w:rsid w:val="00436B7F"/>
    <w:rsid w:val="004479C3"/>
    <w:rsid w:val="00487AED"/>
    <w:rsid w:val="00497FA6"/>
    <w:rsid w:val="004C3B7C"/>
    <w:rsid w:val="004E7680"/>
    <w:rsid w:val="005A6F12"/>
    <w:rsid w:val="005E561A"/>
    <w:rsid w:val="00623D1B"/>
    <w:rsid w:val="00726268"/>
    <w:rsid w:val="0074596D"/>
    <w:rsid w:val="0075488D"/>
    <w:rsid w:val="0076497C"/>
    <w:rsid w:val="00790F49"/>
    <w:rsid w:val="007C62F9"/>
    <w:rsid w:val="007D3119"/>
    <w:rsid w:val="008012E8"/>
    <w:rsid w:val="00807569"/>
    <w:rsid w:val="008610A1"/>
    <w:rsid w:val="008A789E"/>
    <w:rsid w:val="008D4920"/>
    <w:rsid w:val="008D6D01"/>
    <w:rsid w:val="00902BED"/>
    <w:rsid w:val="00950403"/>
    <w:rsid w:val="009711D3"/>
    <w:rsid w:val="009740B5"/>
    <w:rsid w:val="009E2EAF"/>
    <w:rsid w:val="00A15E29"/>
    <w:rsid w:val="00A40E4F"/>
    <w:rsid w:val="00A61D71"/>
    <w:rsid w:val="00A6406E"/>
    <w:rsid w:val="00AA4F53"/>
    <w:rsid w:val="00B22CE0"/>
    <w:rsid w:val="00B22E08"/>
    <w:rsid w:val="00B63D80"/>
    <w:rsid w:val="00BA0096"/>
    <w:rsid w:val="00BB2B01"/>
    <w:rsid w:val="00BC5EE8"/>
    <w:rsid w:val="00C0506E"/>
    <w:rsid w:val="00C14C4F"/>
    <w:rsid w:val="00C44404"/>
    <w:rsid w:val="00C81285"/>
    <w:rsid w:val="00CB019B"/>
    <w:rsid w:val="00CD38F5"/>
    <w:rsid w:val="00D102F3"/>
    <w:rsid w:val="00D32EC7"/>
    <w:rsid w:val="00D3632C"/>
    <w:rsid w:val="00D640EF"/>
    <w:rsid w:val="00D942E9"/>
    <w:rsid w:val="00D95D9C"/>
    <w:rsid w:val="00DC0A5E"/>
    <w:rsid w:val="00DC72A8"/>
    <w:rsid w:val="00DE07E3"/>
    <w:rsid w:val="00DF6F96"/>
    <w:rsid w:val="00E04F9F"/>
    <w:rsid w:val="00E06DA4"/>
    <w:rsid w:val="00E214D5"/>
    <w:rsid w:val="00E21F24"/>
    <w:rsid w:val="00E27537"/>
    <w:rsid w:val="00E32FFA"/>
    <w:rsid w:val="00E633E0"/>
    <w:rsid w:val="00E75063"/>
    <w:rsid w:val="00EC5E46"/>
    <w:rsid w:val="00EE02A3"/>
    <w:rsid w:val="00F13B1A"/>
    <w:rsid w:val="00F45A74"/>
    <w:rsid w:val="00F77A68"/>
    <w:rsid w:val="00F84BE0"/>
    <w:rsid w:val="00F91E1F"/>
    <w:rsid w:val="00F94667"/>
    <w:rsid w:val="00FA0D7D"/>
    <w:rsid w:val="00FD42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7388B"/>
  <w15:chartTrackingRefBased/>
  <w15:docId w15:val="{B38AF0D4-158D-4DA4-B938-1E0A113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1F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F77A68"/>
    <w:pPr>
      <w:ind w:left="720"/>
      <w:contextualSpacing/>
    </w:pPr>
  </w:style>
  <w:style w:type="table" w:styleId="Tablaconcuadrcula">
    <w:name w:val="Table Grid"/>
    <w:basedOn w:val="Tablanormal"/>
    <w:uiPriority w:val="39"/>
    <w:rsid w:val="0043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4F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F53"/>
    <w:rPr>
      <w:rFonts w:ascii="Segoe UI" w:hAnsi="Segoe UI" w:cs="Segoe UI"/>
      <w:sz w:val="18"/>
      <w:szCs w:val="18"/>
    </w:rPr>
  </w:style>
  <w:style w:type="paragraph" w:styleId="Encabezado">
    <w:name w:val="header"/>
    <w:basedOn w:val="Normal"/>
    <w:link w:val="EncabezadoCar"/>
    <w:uiPriority w:val="99"/>
    <w:unhideWhenUsed/>
    <w:rsid w:val="00A40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E4F"/>
  </w:style>
  <w:style w:type="paragraph" w:styleId="Piedepgina">
    <w:name w:val="footer"/>
    <w:basedOn w:val="Normal"/>
    <w:link w:val="PiedepginaCar"/>
    <w:uiPriority w:val="99"/>
    <w:unhideWhenUsed/>
    <w:rsid w:val="00A40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E4F"/>
  </w:style>
  <w:style w:type="table" w:customStyle="1" w:styleId="Tablaconcuadrcula1">
    <w:name w:val="Tabla con cuadrícula1"/>
    <w:basedOn w:val="Tablanormal"/>
    <w:next w:val="Tablaconcuadrcula"/>
    <w:uiPriority w:val="39"/>
    <w:rsid w:val="0006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D640E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D640EF"/>
    <w:rPr>
      <w:rFonts w:ascii="Arial MT" w:eastAsia="Arial MT" w:hAnsi="Arial MT" w:cs="Arial MT"/>
      <w:sz w:val="24"/>
      <w:szCs w:val="24"/>
      <w:lang w:val="es-ES"/>
    </w:rPr>
  </w:style>
  <w:style w:type="character" w:styleId="Hipervnculo">
    <w:name w:val="Hyperlink"/>
    <w:basedOn w:val="Fuentedeprrafopredeter"/>
    <w:uiPriority w:val="99"/>
    <w:unhideWhenUsed/>
    <w:rsid w:val="00D3632C"/>
    <w:rPr>
      <w:color w:val="0563C1" w:themeColor="hyperlink"/>
      <w:u w:val="single"/>
    </w:rPr>
  </w:style>
  <w:style w:type="character" w:styleId="Mencinsinresolver">
    <w:name w:val="Unresolved Mention"/>
    <w:basedOn w:val="Fuentedeprrafopredeter"/>
    <w:uiPriority w:val="99"/>
    <w:semiHidden/>
    <w:unhideWhenUsed/>
    <w:rsid w:val="00D36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4804">
      <w:bodyDiv w:val="1"/>
      <w:marLeft w:val="0"/>
      <w:marRight w:val="0"/>
      <w:marTop w:val="0"/>
      <w:marBottom w:val="0"/>
      <w:divBdr>
        <w:top w:val="none" w:sz="0" w:space="0" w:color="auto"/>
        <w:left w:val="none" w:sz="0" w:space="0" w:color="auto"/>
        <w:bottom w:val="none" w:sz="0" w:space="0" w:color="auto"/>
        <w:right w:val="none" w:sz="0" w:space="0" w:color="auto"/>
      </w:divBdr>
    </w:div>
    <w:div w:id="190121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secop.gov.co/Public/App/AnnualPurchasingPlanEditPublic/View?id=6440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C68F-2F03-4964-BDAF-0FEAF279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920</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ELENA MADRID HENAO</dc:creator>
  <cp:keywords/>
  <dc:description/>
  <cp:lastModifiedBy>BEATRIZ ELENA MADRID HENAO</cp:lastModifiedBy>
  <cp:revision>2</cp:revision>
  <cp:lastPrinted>2018-09-13T22:54:00Z</cp:lastPrinted>
  <dcterms:created xsi:type="dcterms:W3CDTF">2026-02-17T20:22:00Z</dcterms:created>
  <dcterms:modified xsi:type="dcterms:W3CDTF">2026-02-17T20:22:00Z</dcterms:modified>
</cp:coreProperties>
</file>