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4D91" w14:textId="77777777" w:rsidR="00E85651" w:rsidRDefault="00E85651" w:rsidP="0012035F">
      <w:pPr>
        <w:spacing w:after="0"/>
        <w:jc w:val="center"/>
        <w:rPr>
          <w:rFonts w:ascii="Arial" w:hAnsi="Arial" w:cs="Arial"/>
          <w:b/>
          <w:color w:val="000000" w:themeColor="text1"/>
          <w:sz w:val="24"/>
          <w:szCs w:val="24"/>
        </w:rPr>
      </w:pPr>
    </w:p>
    <w:p w14:paraId="516B2E8C" w14:textId="77777777" w:rsidR="00232207" w:rsidRDefault="00232207" w:rsidP="0012035F">
      <w:pPr>
        <w:spacing w:after="0"/>
        <w:jc w:val="center"/>
        <w:rPr>
          <w:rFonts w:ascii="Arial" w:hAnsi="Arial" w:cs="Arial"/>
          <w:b/>
          <w:color w:val="000000" w:themeColor="text1"/>
          <w:sz w:val="24"/>
          <w:szCs w:val="24"/>
        </w:rPr>
      </w:pPr>
    </w:p>
    <w:p w14:paraId="34EE80DA" w14:textId="09E03A4E" w:rsidR="00E85651" w:rsidRDefault="00E85651" w:rsidP="0012035F">
      <w:pPr>
        <w:spacing w:after="0"/>
        <w:jc w:val="center"/>
        <w:rPr>
          <w:rFonts w:ascii="Arial" w:hAnsi="Arial" w:cs="Arial"/>
          <w:b/>
          <w:color w:val="000000" w:themeColor="text1"/>
          <w:sz w:val="24"/>
          <w:szCs w:val="24"/>
        </w:rPr>
      </w:pPr>
    </w:p>
    <w:p w14:paraId="3EF56F91"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INSTITUCIÓN UNIVERSITARIA PASCUAL BRAVO</w:t>
      </w:r>
    </w:p>
    <w:p w14:paraId="68C5F381" w14:textId="77777777" w:rsidR="00E471E3" w:rsidRPr="00E471E3" w:rsidRDefault="00E471E3" w:rsidP="00E471E3">
      <w:pPr>
        <w:spacing w:after="0"/>
        <w:jc w:val="center"/>
        <w:rPr>
          <w:rFonts w:ascii="Arial" w:hAnsi="Arial" w:cs="Arial"/>
          <w:b/>
          <w:color w:val="000000" w:themeColor="text1"/>
          <w:sz w:val="24"/>
          <w:szCs w:val="24"/>
        </w:rPr>
      </w:pPr>
    </w:p>
    <w:p w14:paraId="0D1B7E53" w14:textId="77777777" w:rsidR="00E471E3" w:rsidRPr="00E471E3" w:rsidRDefault="00E471E3" w:rsidP="00E471E3">
      <w:pPr>
        <w:spacing w:after="0"/>
        <w:jc w:val="center"/>
        <w:rPr>
          <w:rFonts w:ascii="Arial" w:hAnsi="Arial" w:cs="Arial"/>
          <w:b/>
          <w:color w:val="000000" w:themeColor="text1"/>
          <w:sz w:val="24"/>
          <w:szCs w:val="24"/>
        </w:rPr>
      </w:pPr>
    </w:p>
    <w:p w14:paraId="72C9DD30" w14:textId="77777777" w:rsidR="00E471E3" w:rsidRPr="00E471E3" w:rsidRDefault="00E471E3" w:rsidP="00E471E3">
      <w:pPr>
        <w:spacing w:after="0"/>
        <w:jc w:val="center"/>
        <w:rPr>
          <w:rFonts w:ascii="Arial" w:hAnsi="Arial" w:cs="Arial"/>
          <w:b/>
          <w:color w:val="000000" w:themeColor="text1"/>
          <w:sz w:val="24"/>
          <w:szCs w:val="24"/>
        </w:rPr>
      </w:pPr>
    </w:p>
    <w:p w14:paraId="45376CA1" w14:textId="4CDF9EFA" w:rsidR="00E471E3" w:rsidRPr="00E471E3" w:rsidRDefault="00E471E3" w:rsidP="00E471E3">
      <w:pPr>
        <w:spacing w:after="0"/>
        <w:jc w:val="center"/>
        <w:rPr>
          <w:rFonts w:ascii="Arial" w:hAnsi="Arial" w:cs="Arial"/>
          <w:b/>
          <w:color w:val="000000" w:themeColor="text1"/>
          <w:sz w:val="24"/>
          <w:szCs w:val="24"/>
        </w:rPr>
      </w:pPr>
    </w:p>
    <w:p w14:paraId="34A9B6B6" w14:textId="6DD3424D" w:rsidR="00E471E3" w:rsidRPr="00E471E3" w:rsidRDefault="00E471E3" w:rsidP="00E471E3">
      <w:pPr>
        <w:spacing w:after="0"/>
        <w:jc w:val="center"/>
        <w:rPr>
          <w:rFonts w:ascii="Arial" w:hAnsi="Arial" w:cs="Arial"/>
          <w:b/>
          <w:color w:val="000000" w:themeColor="text1"/>
          <w:sz w:val="24"/>
          <w:szCs w:val="24"/>
        </w:rPr>
      </w:pPr>
    </w:p>
    <w:p w14:paraId="5CA36A2C" w14:textId="042D10E6" w:rsidR="00E471E3" w:rsidRPr="00E471E3" w:rsidRDefault="00E471E3" w:rsidP="00E471E3">
      <w:pPr>
        <w:spacing w:after="0"/>
        <w:jc w:val="center"/>
        <w:rPr>
          <w:rFonts w:ascii="Arial" w:hAnsi="Arial" w:cs="Arial"/>
          <w:b/>
          <w:color w:val="000000" w:themeColor="text1"/>
          <w:sz w:val="24"/>
          <w:szCs w:val="24"/>
        </w:rPr>
      </w:pPr>
    </w:p>
    <w:p w14:paraId="4FEE0525" w14:textId="77777777" w:rsidR="00E471E3" w:rsidRPr="00E471E3" w:rsidRDefault="00E471E3" w:rsidP="00E471E3">
      <w:pPr>
        <w:spacing w:after="0"/>
        <w:jc w:val="center"/>
        <w:rPr>
          <w:rFonts w:ascii="Arial" w:hAnsi="Arial" w:cs="Arial"/>
          <w:b/>
          <w:color w:val="000000" w:themeColor="text1"/>
          <w:sz w:val="24"/>
          <w:szCs w:val="24"/>
        </w:rPr>
      </w:pPr>
    </w:p>
    <w:p w14:paraId="7A4F2F6E" w14:textId="77777777" w:rsidR="00E471E3" w:rsidRPr="00E471E3" w:rsidRDefault="00E471E3" w:rsidP="00E471E3">
      <w:pPr>
        <w:spacing w:after="0"/>
        <w:jc w:val="center"/>
        <w:rPr>
          <w:rFonts w:ascii="Arial" w:hAnsi="Arial" w:cs="Arial"/>
          <w:b/>
          <w:color w:val="000000" w:themeColor="text1"/>
          <w:sz w:val="24"/>
          <w:szCs w:val="24"/>
        </w:rPr>
      </w:pPr>
    </w:p>
    <w:p w14:paraId="6103AB3F" w14:textId="5AC105BC" w:rsidR="004F7C70" w:rsidRPr="004F7C70" w:rsidRDefault="004F7C70" w:rsidP="004F7C70">
      <w:pPr>
        <w:spacing w:after="0"/>
        <w:jc w:val="center"/>
        <w:rPr>
          <w:rFonts w:ascii="Arial" w:hAnsi="Arial" w:cs="Arial"/>
          <w:b/>
          <w:color w:val="000000" w:themeColor="text1"/>
          <w:sz w:val="24"/>
          <w:szCs w:val="24"/>
        </w:rPr>
      </w:pPr>
      <w:r w:rsidRPr="004F7C70">
        <w:rPr>
          <w:rFonts w:ascii="Arial" w:hAnsi="Arial" w:cs="Arial"/>
          <w:b/>
          <w:color w:val="000000" w:themeColor="text1"/>
          <w:sz w:val="24"/>
          <w:szCs w:val="24"/>
        </w:rPr>
        <w:t xml:space="preserve">INFORME DE SEGUIMIENTO A LAS FUNCIONES DEL COMITÉ DE CONCILIACIONES Y </w:t>
      </w:r>
      <w:r w:rsidR="00846543">
        <w:rPr>
          <w:rFonts w:ascii="Arial" w:hAnsi="Arial" w:cs="Arial"/>
          <w:b/>
          <w:color w:val="000000" w:themeColor="text1"/>
          <w:sz w:val="24"/>
          <w:szCs w:val="24"/>
        </w:rPr>
        <w:t>DEFENSA JUDICIAL</w:t>
      </w:r>
    </w:p>
    <w:p w14:paraId="64CD897F" w14:textId="3A05D2A4" w:rsidR="004F7C70" w:rsidRPr="004F7C70" w:rsidRDefault="004F7C70" w:rsidP="004F7C70">
      <w:pPr>
        <w:spacing w:after="0"/>
        <w:jc w:val="center"/>
        <w:rPr>
          <w:rFonts w:ascii="Arial" w:hAnsi="Arial" w:cs="Arial"/>
          <w:b/>
          <w:color w:val="000000" w:themeColor="text1"/>
          <w:sz w:val="24"/>
          <w:szCs w:val="24"/>
        </w:rPr>
      </w:pPr>
      <w:r>
        <w:rPr>
          <w:rFonts w:ascii="Arial" w:hAnsi="Arial" w:cs="Arial"/>
          <w:b/>
          <w:color w:val="000000" w:themeColor="text1"/>
          <w:sz w:val="24"/>
          <w:szCs w:val="24"/>
        </w:rPr>
        <w:t>PRIMER</w:t>
      </w:r>
      <w:r w:rsidRPr="004F7C70">
        <w:rPr>
          <w:rFonts w:ascii="Arial" w:hAnsi="Arial" w:cs="Arial"/>
          <w:b/>
          <w:color w:val="000000" w:themeColor="text1"/>
          <w:sz w:val="24"/>
          <w:szCs w:val="24"/>
        </w:rPr>
        <w:t xml:space="preserve"> SEMESTRE DE 202</w:t>
      </w:r>
      <w:r>
        <w:rPr>
          <w:rFonts w:ascii="Arial" w:hAnsi="Arial" w:cs="Arial"/>
          <w:b/>
          <w:color w:val="000000" w:themeColor="text1"/>
          <w:sz w:val="24"/>
          <w:szCs w:val="24"/>
        </w:rPr>
        <w:t>5</w:t>
      </w:r>
    </w:p>
    <w:p w14:paraId="23FFD854" w14:textId="77777777" w:rsidR="00E471E3" w:rsidRPr="00E471E3" w:rsidRDefault="00E471E3" w:rsidP="00E471E3">
      <w:pPr>
        <w:spacing w:after="0"/>
        <w:jc w:val="center"/>
        <w:rPr>
          <w:rFonts w:ascii="Arial" w:hAnsi="Arial" w:cs="Arial"/>
          <w:b/>
          <w:color w:val="000000" w:themeColor="text1"/>
          <w:sz w:val="24"/>
          <w:szCs w:val="24"/>
        </w:rPr>
      </w:pPr>
    </w:p>
    <w:p w14:paraId="291AE31D" w14:textId="7948421E" w:rsidR="00E471E3" w:rsidRPr="00E471E3" w:rsidRDefault="00E471E3" w:rsidP="00E471E3">
      <w:pPr>
        <w:spacing w:after="0"/>
        <w:jc w:val="center"/>
        <w:rPr>
          <w:rFonts w:ascii="Arial" w:hAnsi="Arial" w:cs="Arial"/>
          <w:b/>
          <w:color w:val="000000" w:themeColor="text1"/>
          <w:sz w:val="24"/>
          <w:szCs w:val="24"/>
        </w:rPr>
      </w:pPr>
    </w:p>
    <w:p w14:paraId="641D6565" w14:textId="56C7AE21" w:rsidR="00E471E3" w:rsidRPr="00E471E3" w:rsidRDefault="00E471E3" w:rsidP="00E471E3">
      <w:pPr>
        <w:spacing w:after="0"/>
        <w:jc w:val="center"/>
        <w:rPr>
          <w:rFonts w:ascii="Arial" w:hAnsi="Arial" w:cs="Arial"/>
          <w:b/>
          <w:color w:val="000000" w:themeColor="text1"/>
          <w:sz w:val="24"/>
          <w:szCs w:val="24"/>
        </w:rPr>
      </w:pPr>
    </w:p>
    <w:p w14:paraId="45700B0B" w14:textId="766483C7" w:rsidR="00E471E3" w:rsidRPr="00E471E3" w:rsidRDefault="00E471E3" w:rsidP="00E471E3">
      <w:pPr>
        <w:spacing w:after="0"/>
        <w:jc w:val="center"/>
        <w:rPr>
          <w:rFonts w:ascii="Arial" w:hAnsi="Arial" w:cs="Arial"/>
          <w:b/>
          <w:color w:val="000000" w:themeColor="text1"/>
          <w:sz w:val="24"/>
          <w:szCs w:val="24"/>
        </w:rPr>
      </w:pPr>
    </w:p>
    <w:p w14:paraId="1549932A" w14:textId="429F7BC3" w:rsidR="00E471E3" w:rsidRPr="00E471E3" w:rsidRDefault="00E471E3" w:rsidP="00E471E3">
      <w:pPr>
        <w:spacing w:after="0"/>
        <w:jc w:val="center"/>
        <w:rPr>
          <w:rFonts w:ascii="Arial" w:hAnsi="Arial" w:cs="Arial"/>
          <w:b/>
          <w:color w:val="000000" w:themeColor="text1"/>
          <w:sz w:val="24"/>
          <w:szCs w:val="24"/>
        </w:rPr>
      </w:pPr>
    </w:p>
    <w:p w14:paraId="7B5BC8F2" w14:textId="0B38D557" w:rsidR="00E471E3" w:rsidRPr="00E471E3" w:rsidRDefault="00E471E3" w:rsidP="00E471E3">
      <w:pPr>
        <w:spacing w:after="0"/>
        <w:jc w:val="center"/>
        <w:rPr>
          <w:rFonts w:ascii="Arial" w:hAnsi="Arial" w:cs="Arial"/>
          <w:b/>
          <w:color w:val="000000" w:themeColor="text1"/>
          <w:sz w:val="24"/>
          <w:szCs w:val="24"/>
        </w:rPr>
      </w:pPr>
    </w:p>
    <w:p w14:paraId="1E5D33F6" w14:textId="77777777" w:rsidR="00E471E3" w:rsidRPr="00E471E3" w:rsidRDefault="00E471E3" w:rsidP="00E471E3">
      <w:pPr>
        <w:spacing w:after="0"/>
        <w:jc w:val="center"/>
        <w:rPr>
          <w:rFonts w:ascii="Arial" w:hAnsi="Arial" w:cs="Arial"/>
          <w:b/>
          <w:color w:val="000000" w:themeColor="text1"/>
          <w:sz w:val="24"/>
          <w:szCs w:val="24"/>
        </w:rPr>
      </w:pPr>
    </w:p>
    <w:p w14:paraId="078785C9" w14:textId="77777777" w:rsidR="00E471E3" w:rsidRPr="00E471E3" w:rsidRDefault="00E471E3" w:rsidP="00E471E3">
      <w:pPr>
        <w:spacing w:after="0"/>
        <w:jc w:val="center"/>
        <w:rPr>
          <w:rFonts w:ascii="Arial" w:hAnsi="Arial" w:cs="Arial"/>
          <w:b/>
          <w:color w:val="000000" w:themeColor="text1"/>
          <w:sz w:val="24"/>
          <w:szCs w:val="24"/>
        </w:rPr>
      </w:pPr>
    </w:p>
    <w:p w14:paraId="752436F9"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WILLIAM ECHAVARRIA LOTERO</w:t>
      </w:r>
    </w:p>
    <w:p w14:paraId="095DEF30"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DIRECTOR DE EVALUACION Y CONTROL</w:t>
      </w:r>
    </w:p>
    <w:p w14:paraId="73ADBA4F" w14:textId="77777777" w:rsidR="00E471E3" w:rsidRPr="00E471E3" w:rsidRDefault="00E471E3" w:rsidP="00E471E3">
      <w:pPr>
        <w:spacing w:after="0"/>
        <w:jc w:val="center"/>
        <w:rPr>
          <w:rFonts w:ascii="Arial" w:hAnsi="Arial" w:cs="Arial"/>
          <w:b/>
          <w:color w:val="000000" w:themeColor="text1"/>
          <w:sz w:val="24"/>
          <w:szCs w:val="24"/>
        </w:rPr>
      </w:pPr>
    </w:p>
    <w:p w14:paraId="6AD1598A" w14:textId="77777777" w:rsidR="00E471E3" w:rsidRPr="00E471E3" w:rsidRDefault="00E471E3" w:rsidP="00E471E3">
      <w:pPr>
        <w:spacing w:after="0"/>
        <w:jc w:val="center"/>
        <w:rPr>
          <w:rFonts w:ascii="Arial" w:hAnsi="Arial" w:cs="Arial"/>
          <w:b/>
          <w:color w:val="000000" w:themeColor="text1"/>
          <w:sz w:val="24"/>
          <w:szCs w:val="24"/>
        </w:rPr>
      </w:pPr>
    </w:p>
    <w:p w14:paraId="7C64F240" w14:textId="1A3B4993" w:rsidR="00E471E3" w:rsidRPr="00E471E3" w:rsidRDefault="00E471E3" w:rsidP="00E471E3">
      <w:pPr>
        <w:spacing w:after="0"/>
        <w:jc w:val="center"/>
        <w:rPr>
          <w:rFonts w:ascii="Arial" w:hAnsi="Arial" w:cs="Arial"/>
          <w:b/>
          <w:color w:val="000000" w:themeColor="text1"/>
          <w:sz w:val="24"/>
          <w:szCs w:val="24"/>
        </w:rPr>
      </w:pPr>
    </w:p>
    <w:p w14:paraId="1D8BE0C9"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 xml:space="preserve">MEDELLIN </w:t>
      </w:r>
    </w:p>
    <w:p w14:paraId="5D9FD184" w14:textId="6D8835FB" w:rsidR="0012035F"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2025</w:t>
      </w:r>
    </w:p>
    <w:p w14:paraId="57359649" w14:textId="505A1277" w:rsidR="0012035F" w:rsidRDefault="0012035F" w:rsidP="0012035F"/>
    <w:p w14:paraId="45062BB9" w14:textId="72627994" w:rsidR="0012035F" w:rsidRPr="00AE0A32" w:rsidRDefault="00E471E3" w:rsidP="00E471E3">
      <w:pPr>
        <w:jc w:val="center"/>
        <w:rPr>
          <w:rFonts w:ascii="Arial" w:hAnsi="Arial" w:cs="Arial"/>
          <w:b/>
          <w:sz w:val="24"/>
          <w:szCs w:val="24"/>
        </w:rPr>
      </w:pPr>
      <w:r>
        <w:br w:type="page"/>
      </w:r>
      <w:r w:rsidR="00057BBE" w:rsidRPr="00AE0A32">
        <w:rPr>
          <w:rFonts w:ascii="Arial" w:hAnsi="Arial" w:cs="Arial"/>
          <w:b/>
          <w:sz w:val="24"/>
          <w:szCs w:val="24"/>
        </w:rPr>
        <w:lastRenderedPageBreak/>
        <w:t>Í</w:t>
      </w:r>
      <w:r w:rsidRPr="00AE0A32">
        <w:rPr>
          <w:rFonts w:ascii="Arial" w:hAnsi="Arial" w:cs="Arial"/>
          <w:b/>
          <w:sz w:val="24"/>
          <w:szCs w:val="24"/>
        </w:rPr>
        <w:t>NDICE</w:t>
      </w:r>
    </w:p>
    <w:p w14:paraId="46DF2777" w14:textId="77777777" w:rsidR="00057BBE" w:rsidRPr="00AE0A32" w:rsidRDefault="00057BBE" w:rsidP="00E471E3">
      <w:pPr>
        <w:jc w:val="center"/>
        <w:rPr>
          <w:rFonts w:ascii="Arial" w:hAnsi="Arial" w:cs="Arial"/>
          <w:b/>
          <w:sz w:val="24"/>
          <w:szCs w:val="24"/>
        </w:rPr>
      </w:pPr>
    </w:p>
    <w:p w14:paraId="1DAADE4C" w14:textId="40DDE248" w:rsidR="00704C23" w:rsidRPr="00AE0A32" w:rsidRDefault="00704C23" w:rsidP="00E471E3">
      <w:pPr>
        <w:jc w:val="center"/>
        <w:rPr>
          <w:rFonts w:ascii="Arial" w:hAnsi="Arial" w:cs="Arial"/>
          <w:b/>
          <w:sz w:val="24"/>
          <w:szCs w:val="24"/>
        </w:rPr>
      </w:pP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r>
      <w:r w:rsidRPr="00AE0A32">
        <w:rPr>
          <w:rFonts w:ascii="Arial" w:hAnsi="Arial" w:cs="Arial"/>
          <w:b/>
          <w:sz w:val="24"/>
          <w:szCs w:val="24"/>
        </w:rPr>
        <w:tab/>
        <w:t>PÁGINA</w:t>
      </w:r>
    </w:p>
    <w:p w14:paraId="3F1ECC4C" w14:textId="77777777" w:rsidR="00704C23" w:rsidRPr="00AE0A32" w:rsidRDefault="00704C23" w:rsidP="00E471E3">
      <w:pPr>
        <w:jc w:val="center"/>
        <w:rPr>
          <w:rFonts w:ascii="Arial" w:hAnsi="Arial" w:cs="Arial"/>
          <w:b/>
          <w:sz w:val="24"/>
          <w:szCs w:val="24"/>
        </w:rPr>
      </w:pPr>
    </w:p>
    <w:p w14:paraId="5812E09E" w14:textId="212564BF" w:rsidR="00057BBE" w:rsidRPr="00AE0A32" w:rsidRDefault="00057BBE" w:rsidP="00057BBE">
      <w:pPr>
        <w:jc w:val="both"/>
        <w:rPr>
          <w:rFonts w:ascii="Arial" w:hAnsi="Arial" w:cs="Arial"/>
          <w:sz w:val="24"/>
          <w:szCs w:val="24"/>
        </w:rPr>
      </w:pPr>
      <w:r w:rsidRPr="00AE0A32">
        <w:rPr>
          <w:rFonts w:ascii="Arial" w:hAnsi="Arial" w:cs="Arial"/>
          <w:sz w:val="24"/>
          <w:szCs w:val="24"/>
        </w:rPr>
        <w:t>1.</w:t>
      </w:r>
      <w:r w:rsidRPr="00AE0A32">
        <w:rPr>
          <w:rFonts w:ascii="Arial" w:hAnsi="Arial" w:cs="Arial"/>
          <w:sz w:val="24"/>
          <w:szCs w:val="24"/>
        </w:rPr>
        <w:tab/>
        <w:t>INTRODUCCIÓN.</w:t>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t>3</w:t>
      </w:r>
    </w:p>
    <w:p w14:paraId="673FDFF8" w14:textId="4024A5FD" w:rsidR="00057BBE" w:rsidRPr="00AE0A32" w:rsidRDefault="00057BBE" w:rsidP="00057BBE">
      <w:pPr>
        <w:jc w:val="both"/>
        <w:rPr>
          <w:rFonts w:ascii="Arial" w:hAnsi="Arial" w:cs="Arial"/>
          <w:sz w:val="24"/>
          <w:szCs w:val="24"/>
        </w:rPr>
      </w:pPr>
      <w:r w:rsidRPr="00AE0A32">
        <w:rPr>
          <w:rFonts w:ascii="Arial" w:hAnsi="Arial" w:cs="Arial"/>
          <w:sz w:val="24"/>
          <w:szCs w:val="24"/>
        </w:rPr>
        <w:t>2.</w:t>
      </w:r>
      <w:r w:rsidRPr="00AE0A32">
        <w:rPr>
          <w:rFonts w:ascii="Arial" w:hAnsi="Arial" w:cs="Arial"/>
          <w:sz w:val="24"/>
          <w:szCs w:val="24"/>
        </w:rPr>
        <w:tab/>
        <w:t>OBJETIVO.</w:t>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00AE0A32">
        <w:rPr>
          <w:rFonts w:ascii="Arial" w:hAnsi="Arial" w:cs="Arial"/>
          <w:sz w:val="24"/>
          <w:szCs w:val="24"/>
        </w:rPr>
        <w:t>4</w:t>
      </w:r>
    </w:p>
    <w:p w14:paraId="18800D61" w14:textId="4ECB8EB0" w:rsidR="00057BBE" w:rsidRPr="00AE0A32" w:rsidRDefault="00057BBE" w:rsidP="00057BBE">
      <w:pPr>
        <w:jc w:val="both"/>
        <w:rPr>
          <w:rFonts w:ascii="Arial" w:hAnsi="Arial" w:cs="Arial"/>
          <w:sz w:val="24"/>
          <w:szCs w:val="24"/>
        </w:rPr>
      </w:pPr>
      <w:r w:rsidRPr="00AE0A32">
        <w:rPr>
          <w:rFonts w:ascii="Arial" w:hAnsi="Arial" w:cs="Arial"/>
          <w:sz w:val="24"/>
          <w:szCs w:val="24"/>
        </w:rPr>
        <w:t>3.</w:t>
      </w:r>
      <w:r w:rsidRPr="00AE0A32">
        <w:rPr>
          <w:rFonts w:ascii="Arial" w:hAnsi="Arial" w:cs="Arial"/>
          <w:sz w:val="24"/>
          <w:szCs w:val="24"/>
        </w:rPr>
        <w:tab/>
        <w:t>ALCANCE.</w:t>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00AE0A32">
        <w:rPr>
          <w:rFonts w:ascii="Arial" w:hAnsi="Arial" w:cs="Arial"/>
          <w:sz w:val="24"/>
          <w:szCs w:val="24"/>
        </w:rPr>
        <w:t>4</w:t>
      </w:r>
    </w:p>
    <w:p w14:paraId="038E0561" w14:textId="43AA0821" w:rsidR="00057BBE" w:rsidRPr="00AE0A32" w:rsidRDefault="00057BBE" w:rsidP="00057BBE">
      <w:pPr>
        <w:jc w:val="both"/>
        <w:rPr>
          <w:rFonts w:ascii="Arial" w:hAnsi="Arial" w:cs="Arial"/>
          <w:sz w:val="24"/>
          <w:szCs w:val="24"/>
        </w:rPr>
      </w:pPr>
      <w:r w:rsidRPr="00AE0A32">
        <w:rPr>
          <w:rFonts w:ascii="Arial" w:hAnsi="Arial" w:cs="Arial"/>
          <w:sz w:val="24"/>
          <w:szCs w:val="24"/>
        </w:rPr>
        <w:t>4.</w:t>
      </w:r>
      <w:r w:rsidRPr="00AE0A32">
        <w:rPr>
          <w:rFonts w:ascii="Arial" w:hAnsi="Arial" w:cs="Arial"/>
          <w:sz w:val="24"/>
          <w:szCs w:val="24"/>
        </w:rPr>
        <w:tab/>
        <w:t>METODOLOGÍA.</w:t>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00AE0A32">
        <w:rPr>
          <w:rFonts w:ascii="Arial" w:hAnsi="Arial" w:cs="Arial"/>
          <w:sz w:val="24"/>
          <w:szCs w:val="24"/>
        </w:rPr>
        <w:t>5</w:t>
      </w:r>
    </w:p>
    <w:p w14:paraId="7A71041F" w14:textId="6B4DDA8A" w:rsidR="00057BBE" w:rsidRDefault="00057BBE" w:rsidP="00057BBE">
      <w:pPr>
        <w:jc w:val="both"/>
        <w:rPr>
          <w:rFonts w:ascii="Arial" w:hAnsi="Arial" w:cs="Arial"/>
          <w:sz w:val="24"/>
          <w:szCs w:val="24"/>
        </w:rPr>
      </w:pPr>
      <w:r w:rsidRPr="00AE0A32">
        <w:rPr>
          <w:rFonts w:ascii="Arial" w:hAnsi="Arial" w:cs="Arial"/>
          <w:sz w:val="24"/>
          <w:szCs w:val="24"/>
        </w:rPr>
        <w:t>5.</w:t>
      </w:r>
      <w:r w:rsidRPr="00AE0A32">
        <w:rPr>
          <w:rFonts w:ascii="Arial" w:hAnsi="Arial" w:cs="Arial"/>
          <w:sz w:val="24"/>
          <w:szCs w:val="24"/>
        </w:rPr>
        <w:tab/>
        <w:t>DESARROLL</w:t>
      </w:r>
      <w:r w:rsidR="00AE0A32">
        <w:rPr>
          <w:rFonts w:ascii="Arial" w:hAnsi="Arial" w:cs="Arial"/>
          <w:sz w:val="24"/>
          <w:szCs w:val="24"/>
        </w:rPr>
        <w:t>O DEL SEGUIMIENTO.</w:t>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t>6</w:t>
      </w:r>
    </w:p>
    <w:p w14:paraId="386F084C" w14:textId="132DD7A3" w:rsidR="001E087E" w:rsidRDefault="001E087E" w:rsidP="001E087E">
      <w:pPr>
        <w:ind w:left="705" w:hanging="705"/>
        <w:rPr>
          <w:rFonts w:ascii="Arial" w:hAnsi="Arial" w:cs="Arial"/>
          <w:sz w:val="24"/>
          <w:szCs w:val="24"/>
        </w:rPr>
      </w:pPr>
      <w:r>
        <w:rPr>
          <w:rFonts w:ascii="Arial" w:hAnsi="Arial" w:cs="Arial"/>
          <w:sz w:val="24"/>
          <w:szCs w:val="24"/>
        </w:rPr>
        <w:t xml:space="preserve">6. </w:t>
      </w:r>
      <w:r>
        <w:rPr>
          <w:rFonts w:ascii="Arial" w:hAnsi="Arial" w:cs="Arial"/>
          <w:sz w:val="24"/>
          <w:szCs w:val="24"/>
        </w:rPr>
        <w:tab/>
      </w:r>
      <w:r w:rsidRPr="001E087E">
        <w:rPr>
          <w:rFonts w:ascii="Arial" w:hAnsi="Arial" w:cs="Arial"/>
          <w:sz w:val="24"/>
          <w:szCs w:val="24"/>
        </w:rPr>
        <w:t xml:space="preserve">ANÁLISIS DEL PROCESO DE CONVOCATORIA, DESARROLLO </w:t>
      </w:r>
      <w:r>
        <w:rPr>
          <w:rFonts w:ascii="Arial" w:hAnsi="Arial" w:cs="Arial"/>
          <w:sz w:val="24"/>
          <w:szCs w:val="24"/>
        </w:rPr>
        <w:br/>
      </w:r>
      <w:r w:rsidRPr="001E087E">
        <w:rPr>
          <w:rFonts w:ascii="Arial" w:hAnsi="Arial" w:cs="Arial"/>
          <w:sz w:val="24"/>
          <w:szCs w:val="24"/>
        </w:rPr>
        <w:t>DE SESIONES Y DOCUMENTACIÓN DE ACTAS DEL COMITÉ DE CONCILIACIÓN.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14:paraId="4A36A5CF" w14:textId="35EA0AF0" w:rsidR="001E087E" w:rsidRDefault="001E087E" w:rsidP="001E087E">
      <w:pPr>
        <w:spacing w:line="240" w:lineRule="auto"/>
        <w:ind w:left="705" w:hanging="705"/>
        <w:rPr>
          <w:rFonts w:ascii="Arial" w:hAnsi="Arial" w:cs="Arial"/>
          <w:sz w:val="24"/>
          <w:szCs w:val="24"/>
        </w:rPr>
      </w:pPr>
      <w:r>
        <w:rPr>
          <w:rFonts w:ascii="Arial" w:hAnsi="Arial" w:cs="Arial"/>
          <w:sz w:val="24"/>
          <w:szCs w:val="24"/>
        </w:rPr>
        <w:t xml:space="preserve">7. </w:t>
      </w:r>
      <w:r>
        <w:rPr>
          <w:rFonts w:ascii="Arial" w:hAnsi="Arial" w:cs="Arial"/>
          <w:sz w:val="24"/>
          <w:szCs w:val="24"/>
        </w:rPr>
        <w:tab/>
      </w:r>
      <w:r w:rsidRPr="001E087E">
        <w:rPr>
          <w:rFonts w:ascii="Arial" w:hAnsi="Arial" w:cs="Arial"/>
          <w:sz w:val="24"/>
          <w:szCs w:val="24"/>
        </w:rPr>
        <w:t>SEGUIMIENTO AL CUMPLIMIENTO DE LAS FUNCIONES DEL SECRETARIO DEL COMITÉ DE CONCILIACIÓN.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p>
    <w:p w14:paraId="33175301" w14:textId="3169A400" w:rsidR="001E087E" w:rsidRDefault="001E087E" w:rsidP="001E087E">
      <w:pPr>
        <w:spacing w:line="240" w:lineRule="auto"/>
        <w:ind w:left="705" w:hanging="705"/>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r>
      <w:r w:rsidRPr="001E087E">
        <w:rPr>
          <w:rFonts w:ascii="Arial" w:hAnsi="Arial" w:cs="Arial"/>
          <w:sz w:val="24"/>
          <w:szCs w:val="24"/>
        </w:rPr>
        <w:t>ANÁLISIS</w:t>
      </w:r>
      <w:r>
        <w:rPr>
          <w:rFonts w:ascii="Arial" w:hAnsi="Arial" w:cs="Arial"/>
          <w:sz w:val="24"/>
          <w:szCs w:val="24"/>
        </w:rPr>
        <w:t xml:space="preserve"> </w:t>
      </w:r>
      <w:r w:rsidRPr="001E087E">
        <w:rPr>
          <w:rFonts w:ascii="Arial" w:hAnsi="Arial" w:cs="Arial"/>
          <w:sz w:val="24"/>
          <w:szCs w:val="24"/>
        </w:rPr>
        <w:t>DE SOLICITUDES</w:t>
      </w:r>
      <w:r>
        <w:rPr>
          <w:rFonts w:ascii="Arial" w:hAnsi="Arial" w:cs="Arial"/>
          <w:sz w:val="24"/>
          <w:szCs w:val="24"/>
        </w:rPr>
        <w:t xml:space="preserve"> DE CONCILIACIÓN.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14:paraId="67454D5F" w14:textId="66C91C1C" w:rsidR="00402063" w:rsidRDefault="00402063" w:rsidP="001E087E">
      <w:pPr>
        <w:spacing w:line="240" w:lineRule="auto"/>
        <w:ind w:left="705" w:hanging="705"/>
        <w:jc w:val="both"/>
        <w:rPr>
          <w:rFonts w:ascii="Arial" w:hAnsi="Arial" w:cs="Arial"/>
          <w:sz w:val="24"/>
          <w:szCs w:val="24"/>
        </w:rPr>
      </w:pPr>
      <w:r>
        <w:rPr>
          <w:rFonts w:ascii="Arial" w:hAnsi="Arial" w:cs="Arial"/>
          <w:sz w:val="24"/>
          <w:szCs w:val="24"/>
        </w:rPr>
        <w:t>9.</w:t>
      </w:r>
      <w:r>
        <w:rPr>
          <w:rFonts w:ascii="Arial" w:hAnsi="Arial" w:cs="Arial"/>
          <w:sz w:val="24"/>
          <w:szCs w:val="24"/>
        </w:rPr>
        <w:tab/>
        <w:t>RECOMENDACIONES.</w:t>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t>23</w:t>
      </w:r>
    </w:p>
    <w:p w14:paraId="5BB7B2A4" w14:textId="6A57ADA9" w:rsidR="00402063" w:rsidRDefault="00402063" w:rsidP="001E087E">
      <w:pPr>
        <w:spacing w:line="240" w:lineRule="auto"/>
        <w:ind w:left="705" w:hanging="705"/>
        <w:jc w:val="both"/>
        <w:rPr>
          <w:rFonts w:ascii="Arial" w:hAnsi="Arial" w:cs="Arial"/>
          <w:sz w:val="24"/>
          <w:szCs w:val="24"/>
        </w:rPr>
      </w:pPr>
      <w:r>
        <w:rPr>
          <w:rFonts w:ascii="Arial" w:hAnsi="Arial" w:cs="Arial"/>
          <w:sz w:val="24"/>
          <w:szCs w:val="24"/>
        </w:rPr>
        <w:t>10.</w:t>
      </w:r>
      <w:r>
        <w:rPr>
          <w:rFonts w:ascii="Arial" w:hAnsi="Arial" w:cs="Arial"/>
          <w:sz w:val="24"/>
          <w:szCs w:val="24"/>
        </w:rPr>
        <w:tab/>
        <w:t>CONCLUSIONES.</w:t>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r>
      <w:r w:rsidR="002703CD">
        <w:rPr>
          <w:rFonts w:ascii="Arial" w:hAnsi="Arial" w:cs="Arial"/>
          <w:sz w:val="24"/>
          <w:szCs w:val="24"/>
        </w:rPr>
        <w:tab/>
        <w:t>24</w:t>
      </w:r>
    </w:p>
    <w:p w14:paraId="12F60F50" w14:textId="196469DB" w:rsidR="00057BBE" w:rsidRPr="00057BBE" w:rsidRDefault="00A03D26" w:rsidP="001E087E">
      <w:pPr>
        <w:ind w:left="705" w:hanging="705"/>
        <w:jc w:val="both"/>
        <w:rPr>
          <w:rFonts w:ascii="Arial" w:hAnsi="Arial" w:cs="Arial"/>
          <w:sz w:val="24"/>
          <w:szCs w:val="24"/>
        </w:rPr>
      </w:pP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p>
    <w:p w14:paraId="326BE0A7" w14:textId="77777777" w:rsidR="00057BBE" w:rsidRDefault="00057BBE" w:rsidP="00057BBE">
      <w:pPr>
        <w:jc w:val="both"/>
        <w:rPr>
          <w:rFonts w:ascii="Arial" w:hAnsi="Arial" w:cs="Arial"/>
          <w:sz w:val="24"/>
          <w:szCs w:val="24"/>
        </w:rPr>
      </w:pPr>
    </w:p>
    <w:p w14:paraId="3707F535" w14:textId="77777777" w:rsidR="00402063" w:rsidRDefault="00402063" w:rsidP="00057BBE">
      <w:pPr>
        <w:jc w:val="both"/>
        <w:rPr>
          <w:rFonts w:ascii="Arial" w:hAnsi="Arial" w:cs="Arial"/>
          <w:sz w:val="24"/>
          <w:szCs w:val="24"/>
        </w:rPr>
      </w:pPr>
    </w:p>
    <w:p w14:paraId="1912D495" w14:textId="77777777" w:rsidR="00057BBE" w:rsidRDefault="00057BBE" w:rsidP="00057BBE">
      <w:pPr>
        <w:jc w:val="both"/>
        <w:rPr>
          <w:rFonts w:ascii="Arial" w:hAnsi="Arial" w:cs="Arial"/>
          <w:sz w:val="24"/>
          <w:szCs w:val="24"/>
        </w:rPr>
      </w:pPr>
    </w:p>
    <w:p w14:paraId="027228FB" w14:textId="77777777" w:rsidR="00057BBE" w:rsidRDefault="00057BBE" w:rsidP="00057BBE">
      <w:pPr>
        <w:jc w:val="both"/>
        <w:rPr>
          <w:rFonts w:ascii="Arial" w:hAnsi="Arial" w:cs="Arial"/>
          <w:sz w:val="24"/>
          <w:szCs w:val="24"/>
        </w:rPr>
      </w:pPr>
    </w:p>
    <w:p w14:paraId="709AD848" w14:textId="77777777" w:rsidR="00057BBE" w:rsidRDefault="00057BBE" w:rsidP="00057BBE">
      <w:pPr>
        <w:jc w:val="both"/>
        <w:rPr>
          <w:rFonts w:ascii="Arial" w:hAnsi="Arial" w:cs="Arial"/>
          <w:sz w:val="24"/>
          <w:szCs w:val="24"/>
        </w:rPr>
      </w:pPr>
    </w:p>
    <w:p w14:paraId="0C8833AA" w14:textId="754862E9" w:rsidR="0012035F" w:rsidRPr="0012035F" w:rsidRDefault="001A0BCE" w:rsidP="0012035F">
      <w:pPr>
        <w:numPr>
          <w:ilvl w:val="0"/>
          <w:numId w:val="4"/>
        </w:numPr>
        <w:spacing w:after="0"/>
        <w:contextualSpacing/>
        <w:jc w:val="both"/>
        <w:rPr>
          <w:rFonts w:ascii="Arial" w:hAnsi="Arial" w:cs="Arial"/>
          <w:b/>
          <w:sz w:val="24"/>
          <w:szCs w:val="24"/>
        </w:rPr>
      </w:pPr>
      <w:r>
        <w:rPr>
          <w:rFonts w:ascii="Arial" w:hAnsi="Arial" w:cs="Arial"/>
          <w:b/>
          <w:sz w:val="24"/>
          <w:szCs w:val="24"/>
        </w:rPr>
        <w:lastRenderedPageBreak/>
        <w:t>I</w:t>
      </w:r>
      <w:r w:rsidR="0012035F" w:rsidRPr="0012035F">
        <w:rPr>
          <w:rFonts w:ascii="Arial" w:hAnsi="Arial" w:cs="Arial"/>
          <w:b/>
          <w:sz w:val="24"/>
          <w:szCs w:val="24"/>
        </w:rPr>
        <w:t>NTRODUCCIÓN</w:t>
      </w:r>
      <w:r w:rsidR="00D66916">
        <w:rPr>
          <w:rFonts w:ascii="Arial" w:hAnsi="Arial" w:cs="Arial"/>
          <w:b/>
          <w:sz w:val="24"/>
          <w:szCs w:val="24"/>
        </w:rPr>
        <w:t>.</w:t>
      </w:r>
    </w:p>
    <w:p w14:paraId="6032C64A" w14:textId="77777777" w:rsidR="0012035F" w:rsidRPr="0012035F" w:rsidRDefault="0012035F" w:rsidP="0012035F">
      <w:pPr>
        <w:spacing w:after="0"/>
        <w:ind w:left="720"/>
        <w:contextualSpacing/>
        <w:jc w:val="both"/>
        <w:rPr>
          <w:rFonts w:ascii="Arial" w:hAnsi="Arial" w:cs="Arial"/>
          <w:b/>
          <w:sz w:val="24"/>
          <w:szCs w:val="24"/>
        </w:rPr>
      </w:pPr>
    </w:p>
    <w:p w14:paraId="73DCC640" w14:textId="658CCF92"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El Sistema de Control Interno, contemplado en la Ley 87 de 1993, fue concebido para establecer directrices sobre la vigilancia y control dentro de las entidades y organismos estatales, mediante la aplicación del Modelo Estándar de Control Interno. Un elemento esencial de este sistema consiste en la evaluación independiente de los procesos institucionales, cuyo objetivo principal es brindar al representante legal información pertinente respecto de los resultados alcanzados. Esta información resulta fundamental para apoyar la adopción de decisiones orientadas a implementar medidas correctivas o preventivas que impulsen la mejora constante en la gestión pública.</w:t>
      </w:r>
    </w:p>
    <w:p w14:paraId="77AE756A" w14:textId="77777777" w:rsidR="0095597E" w:rsidRPr="0095597E" w:rsidRDefault="0095597E" w:rsidP="0095597E">
      <w:pPr>
        <w:tabs>
          <w:tab w:val="left" w:pos="1530"/>
        </w:tabs>
        <w:spacing w:after="0"/>
        <w:contextualSpacing/>
        <w:jc w:val="both"/>
        <w:rPr>
          <w:rFonts w:ascii="Arial" w:hAnsi="Arial" w:cs="Arial"/>
          <w:sz w:val="24"/>
          <w:szCs w:val="24"/>
        </w:rPr>
      </w:pPr>
    </w:p>
    <w:p w14:paraId="7ADB608F" w14:textId="77777777"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En este marco, la Dirección de Evaluación y Control, dando cumplimiento a sus atribuciones legales, presenta el informe de seguimiento correspondiente al primer semestre del año 2025, en el que se expone el grado de avance en el cumplimiento de las funciones que competen al Comité de Conciliación de la Institución Universitaria Pascual Bravo.</w:t>
      </w:r>
    </w:p>
    <w:p w14:paraId="4D14544C" w14:textId="77777777" w:rsidR="0095597E" w:rsidRPr="0095597E" w:rsidRDefault="0095597E" w:rsidP="0095597E">
      <w:pPr>
        <w:tabs>
          <w:tab w:val="left" w:pos="1530"/>
        </w:tabs>
        <w:spacing w:after="0"/>
        <w:contextualSpacing/>
        <w:jc w:val="both"/>
        <w:rPr>
          <w:rFonts w:ascii="Arial" w:hAnsi="Arial" w:cs="Arial"/>
          <w:sz w:val="24"/>
          <w:szCs w:val="24"/>
        </w:rPr>
      </w:pPr>
    </w:p>
    <w:p w14:paraId="1FF2B550" w14:textId="77777777"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El Comité de Conciliación y Defensa Judicial actúa como un órgano administrativo encargado de examinar y definir políticas encaminadas a prevenir la configuración de daños antijurídicos y a defender los intereses de la entidad. De igual manera, evalúa la procedencia de recurrir a mecanismos alternativos de solución de controversias, tales como la conciliación, en estricto apego a las normas vigentes que buscan proteger el patrimonio público de la Institución.</w:t>
      </w:r>
    </w:p>
    <w:p w14:paraId="3D227F67" w14:textId="77777777" w:rsidR="0095597E" w:rsidRPr="0095597E" w:rsidRDefault="0095597E" w:rsidP="0095597E">
      <w:pPr>
        <w:tabs>
          <w:tab w:val="left" w:pos="1530"/>
        </w:tabs>
        <w:spacing w:after="0"/>
        <w:contextualSpacing/>
        <w:jc w:val="both"/>
        <w:rPr>
          <w:rFonts w:ascii="Arial" w:hAnsi="Arial" w:cs="Arial"/>
          <w:sz w:val="24"/>
          <w:szCs w:val="24"/>
        </w:rPr>
      </w:pPr>
    </w:p>
    <w:p w14:paraId="6F7E54E0" w14:textId="77777777"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 xml:space="preserve">Las labores desarrolladas por este comité están sustentadas en un amplio marco jurídico, conformado por la Constitución Política de Colombia y diversas disposiciones legales y reglamentarias, entre las que se destacan la Ley 446 de 1998, la Ley 640 de 2001, la Ley 678 de 2001, y los Decretos 1716 de 2009, 1069 de 2015, 1167 de 2016, y 1499 de 2017. A estas se suman orientaciones de carácter específico, como la Circular Externa 009 de 2023 expedida por la Agencia Nacional de Defensa Jurídica del Estado, así como normativas internas, entre ellas las Resoluciones Rectorales 852 de 2015, 248 de 2000 y 1076 de 2020. Este conjunto </w:t>
      </w:r>
      <w:r w:rsidRPr="0095597E">
        <w:rPr>
          <w:rFonts w:ascii="Arial" w:hAnsi="Arial" w:cs="Arial"/>
          <w:sz w:val="24"/>
          <w:szCs w:val="24"/>
        </w:rPr>
        <w:lastRenderedPageBreak/>
        <w:t>normativo permite al Comité adoptar determinaciones acordes con las exigencias legales y con las prioridades institucionales.</w:t>
      </w:r>
    </w:p>
    <w:p w14:paraId="5C8B19FF" w14:textId="77777777" w:rsidR="0095597E" w:rsidRPr="0095597E" w:rsidRDefault="0095597E" w:rsidP="0095597E">
      <w:pPr>
        <w:tabs>
          <w:tab w:val="left" w:pos="1530"/>
        </w:tabs>
        <w:spacing w:after="0"/>
        <w:contextualSpacing/>
        <w:jc w:val="both"/>
        <w:rPr>
          <w:rFonts w:ascii="Arial" w:hAnsi="Arial" w:cs="Arial"/>
          <w:sz w:val="24"/>
          <w:szCs w:val="24"/>
        </w:rPr>
      </w:pPr>
    </w:p>
    <w:p w14:paraId="5F7138F5" w14:textId="77777777"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Por su parte, la Política de Prevención del Daño Antijurídico y de Defensa Judicial, formalizada a través de la Resolución Rectoral 852 de 2015, constituye un instrumento estratégico destinado a salvaguardar los recursos públicos. Dicha política recoge lineamientos específicos para reducir situaciones que puedan dar lugar a responsabilidades jurídicas para la Institución y define procedimientos orientados a la identificación y mitigación oportuna de riesgos. Su adecuada aplicación es determinante para reducir la exposición a contingencias legales y financieras, fortaleciendo la capacidad institucional de reacción frente a potenciales litigios. Asimismo, promueve una cultura basada en la responsabilidad y la anticipación, que busca consolidar prácticas preventivas eficaces y sostenibles.</w:t>
      </w:r>
    </w:p>
    <w:p w14:paraId="15A2E95F" w14:textId="77777777" w:rsidR="0095597E" w:rsidRPr="0095597E" w:rsidRDefault="0095597E" w:rsidP="0095597E">
      <w:pPr>
        <w:tabs>
          <w:tab w:val="left" w:pos="1530"/>
        </w:tabs>
        <w:spacing w:after="0"/>
        <w:contextualSpacing/>
        <w:jc w:val="both"/>
        <w:rPr>
          <w:rFonts w:ascii="Arial" w:hAnsi="Arial" w:cs="Arial"/>
          <w:sz w:val="24"/>
          <w:szCs w:val="24"/>
        </w:rPr>
      </w:pPr>
    </w:p>
    <w:p w14:paraId="25DF973D" w14:textId="77777777" w:rsidR="0095597E" w:rsidRPr="0095597E" w:rsidRDefault="0095597E" w:rsidP="0095597E">
      <w:pPr>
        <w:tabs>
          <w:tab w:val="left" w:pos="1530"/>
        </w:tabs>
        <w:spacing w:after="0"/>
        <w:contextualSpacing/>
        <w:jc w:val="both"/>
        <w:rPr>
          <w:rFonts w:ascii="Arial" w:hAnsi="Arial" w:cs="Arial"/>
          <w:sz w:val="24"/>
          <w:szCs w:val="24"/>
        </w:rPr>
      </w:pPr>
      <w:r w:rsidRPr="0095597E">
        <w:rPr>
          <w:rFonts w:ascii="Arial" w:hAnsi="Arial" w:cs="Arial"/>
          <w:sz w:val="24"/>
          <w:szCs w:val="24"/>
        </w:rPr>
        <w:t>Este informe, además de describir el cumplimiento de las funciones asignadas al Comité de Conciliación, pone de relieve la relevancia que tienen las políticas institucionales en la gestión de los riesgos y en el afianzamiento de la transparencia administrativa. Al detallar las actuaciones desarrolladas y su coherencia con la política de prevención del daño antijurídico, el documento contribuye a fortalecer la capacidad de la Institución para afrontar escenarios adversos y a optimizar sus procesos de manera progresiva. Este esfuerzo conjunto, finalmente, refuerza la sostenibilidad de la gestión pública y promueve el uso responsable de los recursos en beneficio de la comunidad universitaria y de la sociedad en su conjunto.</w:t>
      </w:r>
    </w:p>
    <w:p w14:paraId="085BE49E" w14:textId="77777777" w:rsidR="004F7C70" w:rsidRPr="00EB632E" w:rsidRDefault="004F7C70" w:rsidP="004F7C70">
      <w:pPr>
        <w:tabs>
          <w:tab w:val="left" w:pos="1530"/>
        </w:tabs>
        <w:spacing w:after="0"/>
        <w:contextualSpacing/>
        <w:jc w:val="both"/>
        <w:rPr>
          <w:rFonts w:ascii="Arial" w:hAnsi="Arial" w:cs="Arial"/>
          <w:sz w:val="24"/>
          <w:szCs w:val="24"/>
        </w:rPr>
      </w:pPr>
    </w:p>
    <w:p w14:paraId="737612B7" w14:textId="6ADC93B8" w:rsidR="0012035F" w:rsidRPr="0012035F" w:rsidRDefault="0012035F" w:rsidP="0012035F">
      <w:pPr>
        <w:numPr>
          <w:ilvl w:val="0"/>
          <w:numId w:val="4"/>
        </w:numPr>
        <w:shd w:val="clear" w:color="auto" w:fill="FFFFFF"/>
        <w:spacing w:after="0" w:line="360" w:lineRule="atLeast"/>
        <w:jc w:val="both"/>
        <w:textAlignment w:val="baseline"/>
        <w:rPr>
          <w:rFonts w:ascii="Arial" w:hAnsi="Arial" w:cs="Arial"/>
          <w:b/>
          <w:sz w:val="24"/>
          <w:szCs w:val="24"/>
        </w:rPr>
      </w:pPr>
      <w:r w:rsidRPr="0012035F">
        <w:rPr>
          <w:rFonts w:ascii="Arial" w:hAnsi="Arial" w:cs="Arial"/>
          <w:b/>
          <w:sz w:val="24"/>
          <w:szCs w:val="24"/>
        </w:rPr>
        <w:t>OBJETIVO</w:t>
      </w:r>
      <w:r w:rsidR="00D66916">
        <w:rPr>
          <w:rFonts w:ascii="Arial" w:hAnsi="Arial" w:cs="Arial"/>
          <w:b/>
          <w:sz w:val="24"/>
          <w:szCs w:val="24"/>
        </w:rPr>
        <w:t>.</w:t>
      </w:r>
    </w:p>
    <w:p w14:paraId="13B8DB56" w14:textId="77777777" w:rsidR="0012035F" w:rsidRPr="0012035F" w:rsidRDefault="0012035F" w:rsidP="0012035F">
      <w:pPr>
        <w:spacing w:after="0"/>
        <w:jc w:val="both"/>
        <w:rPr>
          <w:rFonts w:ascii="Arial" w:hAnsi="Arial" w:cs="Arial"/>
          <w:sz w:val="24"/>
          <w:szCs w:val="24"/>
        </w:rPr>
      </w:pPr>
      <w:r w:rsidRPr="0012035F">
        <w:rPr>
          <w:rFonts w:ascii="Arial" w:hAnsi="Arial" w:cs="Arial"/>
          <w:sz w:val="24"/>
          <w:szCs w:val="24"/>
        </w:rPr>
        <w:t xml:space="preserve"> </w:t>
      </w:r>
    </w:p>
    <w:p w14:paraId="08F46741" w14:textId="10BD89E4" w:rsidR="004F7C70" w:rsidRDefault="004F7C70" w:rsidP="004F7C70">
      <w:pPr>
        <w:jc w:val="both"/>
        <w:rPr>
          <w:rFonts w:ascii="Arial" w:hAnsi="Arial" w:cs="Arial"/>
          <w:sz w:val="24"/>
          <w:szCs w:val="24"/>
        </w:rPr>
      </w:pPr>
      <w:r w:rsidRPr="004F7C70">
        <w:rPr>
          <w:rFonts w:ascii="Arial" w:hAnsi="Arial" w:cs="Arial"/>
          <w:sz w:val="24"/>
          <w:szCs w:val="24"/>
        </w:rPr>
        <w:t>Evaluar y verificar</w:t>
      </w:r>
      <w:r w:rsidR="008B61C7">
        <w:rPr>
          <w:rFonts w:ascii="Arial" w:hAnsi="Arial" w:cs="Arial"/>
          <w:sz w:val="24"/>
          <w:szCs w:val="24"/>
        </w:rPr>
        <w:t xml:space="preserve"> q</w:t>
      </w:r>
      <w:r w:rsidR="008B61C7" w:rsidRPr="008B61C7">
        <w:rPr>
          <w:rFonts w:ascii="Arial" w:hAnsi="Arial" w:cs="Arial"/>
          <w:sz w:val="24"/>
          <w:szCs w:val="24"/>
        </w:rPr>
        <w:t>ue el Comité de Conciliación y Defensa Judicial de la Institución Universitaria Pascual Bravo ejerza de manera efectiva las funciones que le competen, en lo que respecta a la aplicación de la Política de Prevención del Daño Antijurídico.</w:t>
      </w:r>
    </w:p>
    <w:p w14:paraId="314FE858" w14:textId="77777777" w:rsidR="00130198" w:rsidRPr="004F7C70" w:rsidRDefault="00130198" w:rsidP="004F7C70">
      <w:pPr>
        <w:jc w:val="both"/>
        <w:rPr>
          <w:rFonts w:ascii="Arial" w:hAnsi="Arial" w:cs="Arial"/>
          <w:sz w:val="24"/>
          <w:szCs w:val="24"/>
        </w:rPr>
      </w:pPr>
    </w:p>
    <w:p w14:paraId="687E3ECA" w14:textId="69D9012D" w:rsidR="0012035F" w:rsidRPr="0012035F" w:rsidRDefault="00D66916" w:rsidP="0012035F">
      <w:pPr>
        <w:numPr>
          <w:ilvl w:val="0"/>
          <w:numId w:val="4"/>
        </w:numPr>
        <w:shd w:val="clear" w:color="auto" w:fill="FFFFFF"/>
        <w:spacing w:after="0" w:line="360" w:lineRule="atLeast"/>
        <w:jc w:val="both"/>
        <w:textAlignment w:val="baseline"/>
        <w:rPr>
          <w:rFonts w:ascii="Arial" w:eastAsia="Times New Roman" w:hAnsi="Arial" w:cs="Arial"/>
          <w:b/>
          <w:sz w:val="24"/>
          <w:szCs w:val="24"/>
          <w:lang w:eastAsia="es-CO"/>
        </w:rPr>
      </w:pPr>
      <w:r>
        <w:rPr>
          <w:rFonts w:ascii="Arial" w:eastAsia="Times New Roman" w:hAnsi="Arial" w:cs="Arial"/>
          <w:b/>
          <w:sz w:val="24"/>
          <w:szCs w:val="24"/>
          <w:lang w:eastAsia="es-CO"/>
        </w:rPr>
        <w:lastRenderedPageBreak/>
        <w:t>ALCANCE.</w:t>
      </w:r>
    </w:p>
    <w:p w14:paraId="4E3BAB4A" w14:textId="77777777" w:rsidR="0012035F" w:rsidRPr="0012035F" w:rsidRDefault="0012035F" w:rsidP="0012035F">
      <w:pPr>
        <w:spacing w:after="0"/>
        <w:jc w:val="both"/>
        <w:rPr>
          <w:rFonts w:ascii="Arial" w:eastAsia="Times New Roman" w:hAnsi="Arial" w:cs="Arial"/>
          <w:b/>
          <w:color w:val="1C1C1C"/>
          <w:sz w:val="24"/>
          <w:szCs w:val="24"/>
          <w:lang w:eastAsia="es-CO"/>
        </w:rPr>
      </w:pPr>
    </w:p>
    <w:p w14:paraId="1272DCC6" w14:textId="4177B707" w:rsidR="0012035F" w:rsidRDefault="00AA4D86" w:rsidP="0012035F">
      <w:pPr>
        <w:spacing w:after="0"/>
        <w:jc w:val="both"/>
        <w:rPr>
          <w:rFonts w:ascii="Arial" w:hAnsi="Arial" w:cs="Arial"/>
          <w:sz w:val="24"/>
          <w:szCs w:val="24"/>
        </w:rPr>
      </w:pPr>
      <w:r w:rsidRPr="00AA4D86">
        <w:rPr>
          <w:rFonts w:ascii="Arial" w:hAnsi="Arial" w:cs="Arial"/>
          <w:sz w:val="24"/>
          <w:szCs w:val="24"/>
        </w:rPr>
        <w:t>Este informe expone el análisis realizado sobre el grado de cumplimiento de las responsabilidades asignadas al Comité de Conciliación y Defensa Judicial, correspondientes al período comprendido entre el 1 de enero y el 30 de junio de 2025.</w:t>
      </w:r>
    </w:p>
    <w:p w14:paraId="1C9631F6" w14:textId="77777777" w:rsidR="008123AB" w:rsidRDefault="008123AB" w:rsidP="0012035F">
      <w:pPr>
        <w:spacing w:after="0"/>
        <w:jc w:val="both"/>
        <w:rPr>
          <w:rFonts w:ascii="Arial" w:hAnsi="Arial" w:cs="Arial"/>
          <w:sz w:val="24"/>
          <w:szCs w:val="24"/>
        </w:rPr>
      </w:pPr>
    </w:p>
    <w:p w14:paraId="5B8C5E23" w14:textId="450F0299" w:rsidR="0012035F" w:rsidRPr="0012035F" w:rsidRDefault="0012035F" w:rsidP="0012035F">
      <w:pPr>
        <w:numPr>
          <w:ilvl w:val="0"/>
          <w:numId w:val="4"/>
        </w:numPr>
        <w:shd w:val="clear" w:color="auto" w:fill="FFFFFF"/>
        <w:spacing w:after="0"/>
        <w:contextualSpacing/>
        <w:jc w:val="both"/>
        <w:rPr>
          <w:rFonts w:ascii="Arial" w:eastAsia="Times New Roman" w:hAnsi="Arial" w:cs="Arial"/>
          <w:b/>
          <w:color w:val="000000" w:themeColor="text1"/>
          <w:sz w:val="24"/>
          <w:szCs w:val="24"/>
          <w:lang w:eastAsia="es-CO"/>
        </w:rPr>
      </w:pPr>
      <w:r w:rsidRPr="0012035F">
        <w:rPr>
          <w:rFonts w:ascii="Arial" w:eastAsia="Times New Roman" w:hAnsi="Arial" w:cs="Arial"/>
          <w:b/>
          <w:color w:val="000000" w:themeColor="text1"/>
          <w:sz w:val="24"/>
          <w:szCs w:val="24"/>
          <w:lang w:eastAsia="es-CO"/>
        </w:rPr>
        <w:t>METODOLOGÍA</w:t>
      </w:r>
      <w:r w:rsidR="00D66916">
        <w:rPr>
          <w:rFonts w:ascii="Arial" w:eastAsia="Times New Roman" w:hAnsi="Arial" w:cs="Arial"/>
          <w:b/>
          <w:color w:val="000000" w:themeColor="text1"/>
          <w:sz w:val="24"/>
          <w:szCs w:val="24"/>
          <w:lang w:eastAsia="es-CO"/>
        </w:rPr>
        <w:t>.</w:t>
      </w:r>
    </w:p>
    <w:p w14:paraId="3304461F" w14:textId="77777777" w:rsidR="0012035F" w:rsidRPr="0012035F" w:rsidRDefault="0012035F" w:rsidP="0012035F">
      <w:pPr>
        <w:shd w:val="clear" w:color="auto" w:fill="FFFFFF"/>
        <w:spacing w:after="0"/>
        <w:jc w:val="both"/>
        <w:rPr>
          <w:rFonts w:ascii="Arial" w:eastAsia="Times New Roman" w:hAnsi="Arial" w:cs="Arial"/>
          <w:b/>
          <w:color w:val="000000" w:themeColor="text1"/>
          <w:sz w:val="24"/>
          <w:szCs w:val="24"/>
          <w:lang w:eastAsia="es-CO"/>
        </w:rPr>
      </w:pPr>
    </w:p>
    <w:p w14:paraId="64BD811E"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r w:rsidRPr="00B01D0A">
        <w:rPr>
          <w:rFonts w:ascii="Arial" w:eastAsia="Times New Roman" w:hAnsi="Arial" w:cs="Arial"/>
          <w:color w:val="000000" w:themeColor="text1"/>
          <w:sz w:val="24"/>
          <w:szCs w:val="24"/>
          <w:lang w:eastAsia="es-CO"/>
        </w:rPr>
        <w:t>La metodología utilizada para este proceso de seguimiento se desarrolló en diversas etapas. En primer lugar, se procedió a la recopilación de información, solicitando a la Secretaría General —por medio del comunicado interno 2025000688— las actas correspondientes a las sesiones del Comité de Conciliación, el informe de gestión relativo al primer semestre de 2025 y los soportes que evidencian la aplicación de la Política de Prevención del Daño Antijurídico.</w:t>
      </w:r>
    </w:p>
    <w:p w14:paraId="550F41A6"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p>
    <w:p w14:paraId="455670C5"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r w:rsidRPr="00B01D0A">
        <w:rPr>
          <w:rFonts w:ascii="Arial" w:eastAsia="Times New Roman" w:hAnsi="Arial" w:cs="Arial"/>
          <w:color w:val="000000" w:themeColor="text1"/>
          <w:sz w:val="24"/>
          <w:szCs w:val="24"/>
          <w:lang w:eastAsia="es-CO"/>
        </w:rPr>
        <w:t>A continuación, se llevó a cabo un análisis documental orientado a constatar que las reuniones se hubiesen realizado de acuerdo con lo programado y que los asuntos tratados guardaran relación con las atribuciones del Comité.</w:t>
      </w:r>
    </w:p>
    <w:p w14:paraId="20310BE3"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p>
    <w:p w14:paraId="14A1C089"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r w:rsidRPr="00B01D0A">
        <w:rPr>
          <w:rFonts w:ascii="Arial" w:eastAsia="Times New Roman" w:hAnsi="Arial" w:cs="Arial"/>
          <w:color w:val="000000" w:themeColor="text1"/>
          <w:sz w:val="24"/>
          <w:szCs w:val="24"/>
          <w:lang w:eastAsia="es-CO"/>
        </w:rPr>
        <w:t>Posteriormente, se verificó el cumplimiento de la normativa vigente, contrastando las actividades consignadas en los documentos con los requerimientos legales aplicables, a fin de asegurar que las decisiones adoptadas estuvieran en sintonía con el marco jurídico y con los objetivos definidos en la Política de Prevención del Daño Antijurídico. Del mismo modo, se examinaron los soportes relacionados con la ejecución de esta política —incluyendo acciones preventivas y procesos de capacitación— para valorar su impacto en la reducción de riesgos legales.</w:t>
      </w:r>
    </w:p>
    <w:p w14:paraId="1C63FCAC" w14:textId="77777777" w:rsidR="00B01D0A" w:rsidRP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p>
    <w:p w14:paraId="1AE86F7A" w14:textId="42E10F1A" w:rsidR="00B01D0A" w:rsidRDefault="00B01D0A" w:rsidP="00B01D0A">
      <w:pPr>
        <w:shd w:val="clear" w:color="auto" w:fill="FFFFFF"/>
        <w:spacing w:after="0"/>
        <w:jc w:val="both"/>
        <w:rPr>
          <w:rFonts w:ascii="Arial" w:eastAsia="Times New Roman" w:hAnsi="Arial" w:cs="Arial"/>
          <w:color w:val="000000" w:themeColor="text1"/>
          <w:sz w:val="24"/>
          <w:szCs w:val="24"/>
          <w:lang w:eastAsia="es-CO"/>
        </w:rPr>
      </w:pPr>
      <w:r w:rsidRPr="00B01D0A">
        <w:rPr>
          <w:rFonts w:ascii="Arial" w:eastAsia="Times New Roman" w:hAnsi="Arial" w:cs="Arial"/>
          <w:color w:val="000000" w:themeColor="text1"/>
          <w:sz w:val="24"/>
          <w:szCs w:val="24"/>
          <w:lang w:eastAsia="es-CO"/>
        </w:rPr>
        <w:t>Finalmente, todas las conclusiones y recomendaciones fueron integradas en el presente informe, con el propósito de fortalecer la labor del Comité y propiciar la mejora continua de sus prácticas de gestión.</w:t>
      </w:r>
    </w:p>
    <w:p w14:paraId="3F218765" w14:textId="77777777" w:rsidR="00B01D0A" w:rsidRDefault="00B01D0A" w:rsidP="004F7C70">
      <w:pPr>
        <w:shd w:val="clear" w:color="auto" w:fill="FFFFFF"/>
        <w:spacing w:after="0"/>
        <w:jc w:val="both"/>
        <w:rPr>
          <w:rFonts w:ascii="Arial" w:eastAsia="Times New Roman" w:hAnsi="Arial" w:cs="Arial"/>
          <w:color w:val="000000" w:themeColor="text1"/>
          <w:sz w:val="24"/>
          <w:szCs w:val="24"/>
          <w:lang w:eastAsia="es-CO"/>
        </w:rPr>
      </w:pPr>
    </w:p>
    <w:p w14:paraId="1EC88634" w14:textId="77777777" w:rsidR="00130198" w:rsidRDefault="00130198" w:rsidP="004F7C70">
      <w:pPr>
        <w:shd w:val="clear" w:color="auto" w:fill="FFFFFF"/>
        <w:spacing w:after="0"/>
        <w:jc w:val="both"/>
        <w:rPr>
          <w:rFonts w:ascii="Arial" w:eastAsia="Times New Roman" w:hAnsi="Arial" w:cs="Arial"/>
          <w:color w:val="000000" w:themeColor="text1"/>
          <w:sz w:val="24"/>
          <w:szCs w:val="24"/>
          <w:lang w:eastAsia="es-CO"/>
        </w:rPr>
      </w:pPr>
    </w:p>
    <w:p w14:paraId="0C7AE257" w14:textId="16E0C8AB" w:rsidR="0012035F" w:rsidRPr="004F7C70" w:rsidRDefault="0079415F" w:rsidP="004F7C70">
      <w:pPr>
        <w:numPr>
          <w:ilvl w:val="0"/>
          <w:numId w:val="4"/>
        </w:numPr>
        <w:shd w:val="clear" w:color="auto" w:fill="FFFFFF"/>
        <w:spacing w:after="0"/>
        <w:contextualSpacing/>
        <w:jc w:val="both"/>
        <w:rPr>
          <w:rFonts w:ascii="Arial" w:eastAsia="Times New Roman" w:hAnsi="Arial" w:cs="Arial"/>
          <w:b/>
          <w:color w:val="000000" w:themeColor="text1"/>
          <w:sz w:val="24"/>
          <w:szCs w:val="24"/>
          <w:lang w:eastAsia="es-CO"/>
        </w:rPr>
      </w:pPr>
      <w:r w:rsidRPr="004F7C70">
        <w:rPr>
          <w:rFonts w:ascii="Arial" w:eastAsia="Times New Roman" w:hAnsi="Arial" w:cs="Arial"/>
          <w:b/>
          <w:color w:val="000000" w:themeColor="text1"/>
          <w:sz w:val="24"/>
          <w:szCs w:val="24"/>
          <w:lang w:eastAsia="es-CO"/>
        </w:rPr>
        <w:lastRenderedPageBreak/>
        <w:t>DESARROLLO</w:t>
      </w:r>
      <w:r w:rsidR="005B2BDF">
        <w:rPr>
          <w:rFonts w:ascii="Arial" w:eastAsia="Times New Roman" w:hAnsi="Arial" w:cs="Arial"/>
          <w:b/>
          <w:color w:val="000000" w:themeColor="text1"/>
          <w:sz w:val="24"/>
          <w:szCs w:val="24"/>
          <w:lang w:eastAsia="es-CO"/>
        </w:rPr>
        <w:t xml:space="preserve"> DEL SEGUIMIENTO.</w:t>
      </w:r>
    </w:p>
    <w:p w14:paraId="6149C89E" w14:textId="77777777" w:rsidR="0012035F" w:rsidRPr="0012035F" w:rsidRDefault="0012035F" w:rsidP="0012035F">
      <w:pPr>
        <w:spacing w:after="0"/>
        <w:rPr>
          <w:rFonts w:ascii="Arial" w:hAnsi="Arial" w:cs="Arial"/>
          <w:sz w:val="24"/>
          <w:szCs w:val="24"/>
        </w:rPr>
      </w:pPr>
    </w:p>
    <w:p w14:paraId="77E72FFF" w14:textId="77777777" w:rsidR="005B2BDF" w:rsidRPr="005B2BDF" w:rsidRDefault="005B2BDF" w:rsidP="005B2BDF">
      <w:pPr>
        <w:shd w:val="clear" w:color="auto" w:fill="FFFFFF"/>
        <w:spacing w:after="0"/>
        <w:jc w:val="both"/>
        <w:rPr>
          <w:rFonts w:ascii="Arial" w:hAnsi="Arial" w:cs="Arial"/>
          <w:b/>
          <w:sz w:val="24"/>
          <w:szCs w:val="24"/>
        </w:rPr>
      </w:pPr>
      <w:r w:rsidRPr="005B2BDF">
        <w:rPr>
          <w:rFonts w:ascii="Arial" w:hAnsi="Arial" w:cs="Arial"/>
          <w:b/>
          <w:sz w:val="24"/>
          <w:szCs w:val="24"/>
        </w:rPr>
        <w:t>ANÁLISIS DEL PROCESO DE CONVOCATORIA, DESARROLLO DE SESIONES Y DOCUMENTACIÓN DE ACTAS DEL COMITÉ DE CONCILIACIÓN.</w:t>
      </w:r>
    </w:p>
    <w:p w14:paraId="7B293442" w14:textId="77777777" w:rsidR="005B2BDF" w:rsidRPr="005B2BDF" w:rsidRDefault="005B2BDF" w:rsidP="005B2BDF">
      <w:pPr>
        <w:shd w:val="clear" w:color="auto" w:fill="FFFFFF"/>
        <w:spacing w:after="0"/>
        <w:jc w:val="both"/>
        <w:rPr>
          <w:rFonts w:ascii="Arial" w:hAnsi="Arial" w:cs="Arial"/>
          <w:b/>
          <w:sz w:val="24"/>
          <w:szCs w:val="24"/>
        </w:rPr>
      </w:pPr>
    </w:p>
    <w:p w14:paraId="6E792509" w14:textId="09B1AD7A" w:rsidR="0012206E" w:rsidRPr="0012206E" w:rsidRDefault="0012206E" w:rsidP="0012206E">
      <w:pPr>
        <w:shd w:val="clear" w:color="auto" w:fill="FFFFFF"/>
        <w:spacing w:after="0"/>
        <w:jc w:val="both"/>
        <w:rPr>
          <w:rFonts w:ascii="Arial" w:hAnsi="Arial" w:cs="Arial"/>
          <w:bCs/>
          <w:sz w:val="24"/>
          <w:szCs w:val="24"/>
        </w:rPr>
      </w:pPr>
      <w:r w:rsidRPr="0012206E">
        <w:rPr>
          <w:rFonts w:ascii="Arial" w:hAnsi="Arial" w:cs="Arial"/>
          <w:bCs/>
          <w:sz w:val="24"/>
          <w:szCs w:val="24"/>
        </w:rPr>
        <w:t>De acuerdo con lo establecido en el artículo 18 del Decreto 1716 de 2009, el Comité de Conciliación debe sesionar al menos dos veces por mes, o con mayor frecuencia si la situación lo amerita. Esta disposición tiene como finalidad asegurar una gestión dinámica y constante en la atención de los asuntos propios de su competencia.</w:t>
      </w:r>
    </w:p>
    <w:p w14:paraId="388EABC1" w14:textId="77777777" w:rsidR="0012206E" w:rsidRPr="0012206E" w:rsidRDefault="0012206E" w:rsidP="0012206E">
      <w:pPr>
        <w:shd w:val="clear" w:color="auto" w:fill="FFFFFF"/>
        <w:spacing w:after="0"/>
        <w:jc w:val="both"/>
        <w:rPr>
          <w:rFonts w:ascii="Arial" w:hAnsi="Arial" w:cs="Arial"/>
          <w:bCs/>
          <w:sz w:val="24"/>
          <w:szCs w:val="24"/>
        </w:rPr>
      </w:pPr>
    </w:p>
    <w:p w14:paraId="545FCABA" w14:textId="77777777" w:rsidR="0012206E" w:rsidRPr="0012206E" w:rsidRDefault="0012206E" w:rsidP="0012206E">
      <w:pPr>
        <w:shd w:val="clear" w:color="auto" w:fill="FFFFFF"/>
        <w:spacing w:after="0"/>
        <w:jc w:val="both"/>
        <w:rPr>
          <w:rFonts w:ascii="Arial" w:hAnsi="Arial" w:cs="Arial"/>
          <w:bCs/>
          <w:sz w:val="24"/>
          <w:szCs w:val="24"/>
        </w:rPr>
      </w:pPr>
      <w:r w:rsidRPr="0012206E">
        <w:rPr>
          <w:rFonts w:ascii="Arial" w:hAnsi="Arial" w:cs="Arial"/>
          <w:bCs/>
          <w:sz w:val="24"/>
          <w:szCs w:val="24"/>
        </w:rPr>
        <w:t>En el contexto del seguimiento efectuado por la Dirección de Evaluación y Control de la Institución Universitaria Pascual Bravo, se verificó el cumplimiento de dicha exigencia durante el primer semestre de 2025. El análisis realizado permitió constatar que el Comité celebró un total de 12 sesiones en este período, distribuidas en 10 reuniones ordinarias y 2 extraordinarias.</w:t>
      </w:r>
    </w:p>
    <w:p w14:paraId="79F12393" w14:textId="77777777" w:rsidR="0012206E" w:rsidRPr="0012206E" w:rsidRDefault="0012206E" w:rsidP="0012206E">
      <w:pPr>
        <w:shd w:val="clear" w:color="auto" w:fill="FFFFFF"/>
        <w:spacing w:after="0"/>
        <w:jc w:val="both"/>
        <w:rPr>
          <w:rFonts w:ascii="Arial" w:hAnsi="Arial" w:cs="Arial"/>
          <w:bCs/>
          <w:sz w:val="24"/>
          <w:szCs w:val="24"/>
        </w:rPr>
      </w:pPr>
    </w:p>
    <w:p w14:paraId="284FB43E" w14:textId="32EEAEB9" w:rsidR="005B2BDF" w:rsidRPr="005B2BDF" w:rsidRDefault="0012206E" w:rsidP="0012206E">
      <w:pPr>
        <w:shd w:val="clear" w:color="auto" w:fill="FFFFFF"/>
        <w:spacing w:after="0"/>
        <w:jc w:val="both"/>
        <w:rPr>
          <w:rFonts w:ascii="Arial" w:hAnsi="Arial" w:cs="Arial"/>
          <w:bCs/>
          <w:sz w:val="24"/>
          <w:szCs w:val="24"/>
        </w:rPr>
      </w:pPr>
      <w:r w:rsidRPr="0012206E">
        <w:rPr>
          <w:rFonts w:ascii="Arial" w:hAnsi="Arial" w:cs="Arial"/>
          <w:bCs/>
          <w:sz w:val="24"/>
          <w:szCs w:val="24"/>
        </w:rPr>
        <w:t>Este resultado refleja una ejecución acorde con la planeación institucional, en la que se evidencia la existencia de un cronograma definido y agendas estructuradas, lo cual favoreció el tratamiento sistemático y eficiente de los temas sometidos a consideración del Comité.</w:t>
      </w:r>
    </w:p>
    <w:p w14:paraId="14C267EC" w14:textId="77777777" w:rsidR="005B2BDF" w:rsidRPr="005B2BDF" w:rsidRDefault="005B2BDF" w:rsidP="005B2BDF">
      <w:pPr>
        <w:shd w:val="clear" w:color="auto" w:fill="FFFFFF"/>
        <w:spacing w:after="0"/>
        <w:jc w:val="both"/>
        <w:rPr>
          <w:rFonts w:ascii="Arial" w:hAnsi="Arial" w:cs="Arial"/>
          <w:bCs/>
          <w:sz w:val="24"/>
          <w:szCs w:val="24"/>
        </w:rPr>
      </w:pPr>
    </w:p>
    <w:p w14:paraId="01198176" w14:textId="71D7A983" w:rsidR="005B2BDF" w:rsidRPr="005B2BDF" w:rsidRDefault="00716746" w:rsidP="005B2BDF">
      <w:pPr>
        <w:shd w:val="clear" w:color="auto" w:fill="FFFFFF"/>
        <w:spacing w:after="0"/>
        <w:jc w:val="both"/>
        <w:rPr>
          <w:rFonts w:ascii="Arial" w:hAnsi="Arial" w:cs="Arial"/>
          <w:bCs/>
          <w:sz w:val="24"/>
          <w:szCs w:val="24"/>
        </w:rPr>
      </w:pPr>
      <w:r w:rsidRPr="00716746">
        <w:rPr>
          <w:rFonts w:ascii="Arial" w:hAnsi="Arial" w:cs="Arial"/>
          <w:bCs/>
          <w:noProof/>
          <w:sz w:val="24"/>
          <w:szCs w:val="24"/>
        </w:rPr>
        <w:drawing>
          <wp:inline distT="0" distB="0" distL="0" distR="0" wp14:anchorId="798F0DC2" wp14:editId="7F39BADF">
            <wp:extent cx="5612130" cy="17049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4975"/>
                    </a:xfrm>
                    <a:prstGeom prst="rect">
                      <a:avLst/>
                    </a:prstGeom>
                  </pic:spPr>
                </pic:pic>
              </a:graphicData>
            </a:graphic>
          </wp:inline>
        </w:drawing>
      </w:r>
    </w:p>
    <w:p w14:paraId="4A882C3C" w14:textId="77777777" w:rsidR="005B2BDF" w:rsidRPr="005B2BDF" w:rsidRDefault="005B2BDF" w:rsidP="005B2BDF">
      <w:pPr>
        <w:shd w:val="clear" w:color="auto" w:fill="FFFFFF"/>
        <w:spacing w:after="0"/>
        <w:jc w:val="both"/>
        <w:rPr>
          <w:rFonts w:ascii="Arial" w:hAnsi="Arial" w:cs="Arial"/>
          <w:bCs/>
          <w:sz w:val="24"/>
          <w:szCs w:val="24"/>
        </w:rPr>
      </w:pPr>
    </w:p>
    <w:p w14:paraId="29EABCAC" w14:textId="77777777" w:rsidR="00262E77" w:rsidRPr="00262E77"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 xml:space="preserve">Por otra parte, se constató que cada reunión fue debidamente consignada en actas que detallaron de manera precisa los temas abordados, las decisiones tomadas y </w:t>
      </w:r>
      <w:r w:rsidRPr="00262E77">
        <w:rPr>
          <w:rFonts w:ascii="Arial" w:hAnsi="Arial" w:cs="Arial"/>
          <w:bCs/>
          <w:sz w:val="24"/>
          <w:szCs w:val="24"/>
        </w:rPr>
        <w:lastRenderedPageBreak/>
        <w:t>las recomendaciones formuladas, lo que contribuye a garantizar la transparencia y la trazabilidad en la gestión del Comité. Este nivel de organización facilita la aplicación efectiva de la Política de Prevención del Daño Antijurídico y promueve el perfeccionamiento continuo de los procesos institucionales.</w:t>
      </w:r>
    </w:p>
    <w:p w14:paraId="2D54DF10" w14:textId="77777777" w:rsidR="00262E77" w:rsidRPr="00262E77" w:rsidRDefault="00262E77" w:rsidP="00262E77">
      <w:pPr>
        <w:shd w:val="clear" w:color="auto" w:fill="FFFFFF"/>
        <w:spacing w:after="0"/>
        <w:jc w:val="both"/>
        <w:rPr>
          <w:rFonts w:ascii="Arial" w:hAnsi="Arial" w:cs="Arial"/>
          <w:bCs/>
          <w:sz w:val="24"/>
          <w:szCs w:val="24"/>
        </w:rPr>
      </w:pPr>
    </w:p>
    <w:p w14:paraId="2BFE34B7" w14:textId="77777777" w:rsidR="00262E77" w:rsidRPr="00262E77"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Al revisar las actas correspondientes al primer semestre de 2025, se identificó, al igual que en la evaluación previa, que aunque su contenido se encuentra adecuadamente registrado, ninguna de ellas incluye las firmas requeridas por la normatividad vigente. Esta omisión afecta la validez formal de los documentos, debilita la legitimidad de las decisiones adoptadas y genera riesgos potenciales para la Institución.</w:t>
      </w:r>
    </w:p>
    <w:p w14:paraId="52392A65" w14:textId="77777777" w:rsidR="00262E77" w:rsidRPr="00262E77" w:rsidRDefault="00262E77" w:rsidP="00262E77">
      <w:pPr>
        <w:shd w:val="clear" w:color="auto" w:fill="FFFFFF"/>
        <w:spacing w:after="0"/>
        <w:jc w:val="both"/>
        <w:rPr>
          <w:rFonts w:ascii="Arial" w:hAnsi="Arial" w:cs="Arial"/>
          <w:bCs/>
          <w:sz w:val="24"/>
          <w:szCs w:val="24"/>
        </w:rPr>
      </w:pPr>
    </w:p>
    <w:p w14:paraId="761C3D54" w14:textId="77777777" w:rsidR="00262E77" w:rsidRPr="00262E77"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Adicionalmente, se evidenció que los archivos fueron remitidos en formato Word sin mecanismos de protección, lo cual permite su manipulación sin restricciones. La carencia de medidas de seguridad, tales como contraseñas o firmas digitales, compromete la integridad y la autenticidad de la información, ya que podría ser modificada sin autorización, afectando la confiabilidad de los registros del Comité. Resulta indispensable implementar controles de seguridad que resguarden la inviolabilidad de los documentos y mantengan la confianza en los procedimientos institucionales.</w:t>
      </w:r>
    </w:p>
    <w:p w14:paraId="3469BB26" w14:textId="77777777" w:rsidR="00262E77" w:rsidRPr="00262E77" w:rsidRDefault="00262E77" w:rsidP="00262E77">
      <w:pPr>
        <w:shd w:val="clear" w:color="auto" w:fill="FFFFFF"/>
        <w:spacing w:after="0"/>
        <w:jc w:val="both"/>
        <w:rPr>
          <w:rFonts w:ascii="Arial" w:hAnsi="Arial" w:cs="Arial"/>
          <w:bCs/>
          <w:sz w:val="24"/>
          <w:szCs w:val="24"/>
        </w:rPr>
      </w:pPr>
    </w:p>
    <w:p w14:paraId="573D6F8E" w14:textId="77777777" w:rsidR="00262E77" w:rsidRPr="00262E77"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Pese a estas deficiencias, los contenidos de las actas reflejan coherencia con las finalidades del Comité, abordando asuntos relacionados con el análisis de la procedencia de la conciliación, la puesta en marcha de acciones de repetición y la definición de estrategias orientadas a prevenir daños antijurídicos. Se observó una participación activa de los integrantes, quienes fundamentaron sus decisiones en las disposiciones legales aplicables y en las directrices de la política institucional.</w:t>
      </w:r>
    </w:p>
    <w:p w14:paraId="6AED70C0" w14:textId="77777777" w:rsidR="00262E77" w:rsidRPr="00262E77" w:rsidRDefault="00262E77" w:rsidP="00262E77">
      <w:pPr>
        <w:shd w:val="clear" w:color="auto" w:fill="FFFFFF"/>
        <w:spacing w:after="0"/>
        <w:jc w:val="both"/>
        <w:rPr>
          <w:rFonts w:ascii="Arial" w:hAnsi="Arial" w:cs="Arial"/>
          <w:bCs/>
          <w:sz w:val="24"/>
          <w:szCs w:val="24"/>
        </w:rPr>
      </w:pPr>
    </w:p>
    <w:p w14:paraId="12FC7586" w14:textId="22002E8F" w:rsidR="00F52532"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 xml:space="preserve">En conclusión, si bien las acciones desarrolladas por el Comité denotan un compromiso con sus objetivos y el fortalecimiento de la gestión pública, persisten aspectos que requieren corrección, como la formalización de las actas mediante la incorporación de las firmas reglamentarias y el aseguramiento del cumplimiento del mínimo de reuniones establecido en la normativa (dos sesiones mensuales). Estas </w:t>
      </w:r>
      <w:r w:rsidRPr="00262E77">
        <w:rPr>
          <w:rFonts w:ascii="Arial" w:hAnsi="Arial" w:cs="Arial"/>
          <w:bCs/>
          <w:sz w:val="24"/>
          <w:szCs w:val="24"/>
        </w:rPr>
        <w:lastRenderedPageBreak/>
        <w:t>acciones resultan esenciales para consolidar un manejo eficiente, transparente y conforme al marco jurídico vigente.</w:t>
      </w:r>
    </w:p>
    <w:p w14:paraId="39882421" w14:textId="77777777" w:rsidR="00B95CC0" w:rsidRPr="00262E77" w:rsidRDefault="00B95CC0" w:rsidP="00262E77">
      <w:pPr>
        <w:shd w:val="clear" w:color="auto" w:fill="FFFFFF"/>
        <w:spacing w:after="0"/>
        <w:jc w:val="both"/>
        <w:rPr>
          <w:rFonts w:ascii="Arial" w:hAnsi="Arial" w:cs="Arial"/>
          <w:bCs/>
          <w:sz w:val="24"/>
          <w:szCs w:val="24"/>
        </w:rPr>
      </w:pPr>
    </w:p>
    <w:p w14:paraId="79A96384" w14:textId="60042FAA" w:rsidR="005B2BDF" w:rsidRDefault="00262E77" w:rsidP="00262E77">
      <w:pPr>
        <w:shd w:val="clear" w:color="auto" w:fill="FFFFFF"/>
        <w:spacing w:after="0"/>
        <w:jc w:val="both"/>
        <w:rPr>
          <w:rFonts w:ascii="Arial" w:hAnsi="Arial" w:cs="Arial"/>
          <w:bCs/>
          <w:sz w:val="24"/>
          <w:szCs w:val="24"/>
        </w:rPr>
      </w:pPr>
      <w:r w:rsidRPr="00262E77">
        <w:rPr>
          <w:rFonts w:ascii="Arial" w:hAnsi="Arial" w:cs="Arial"/>
          <w:bCs/>
          <w:sz w:val="24"/>
          <w:szCs w:val="24"/>
        </w:rPr>
        <w:t>Durante el periodo evaluado, se tramitaron cinco solicitudes de conciliación que cumplían con los requisitos para interponer el medio de control de nulidad y restablecimiento del derecho, así como para promover procesos laborales ordinarios. Estas solicitudes representaron hitos relevantes en la atención de conflictos en la Institución Universitaria Pascual Bravo, abordando casos de distinta complejidad y alcance.</w:t>
      </w:r>
    </w:p>
    <w:p w14:paraId="3A988FE9" w14:textId="77777777" w:rsidR="00262E77" w:rsidRDefault="00262E77" w:rsidP="005B2BDF">
      <w:pPr>
        <w:shd w:val="clear" w:color="auto" w:fill="FFFFFF"/>
        <w:spacing w:after="0"/>
        <w:jc w:val="both"/>
        <w:rPr>
          <w:rFonts w:ascii="Arial" w:hAnsi="Arial" w:cs="Arial"/>
          <w:bCs/>
          <w:sz w:val="24"/>
          <w:szCs w:val="24"/>
        </w:rPr>
      </w:pPr>
    </w:p>
    <w:p w14:paraId="70895A67" w14:textId="1D2FABD4" w:rsidR="005B2BDF" w:rsidRPr="005B2BDF" w:rsidRDefault="00716746" w:rsidP="005B2BDF">
      <w:pPr>
        <w:shd w:val="clear" w:color="auto" w:fill="FFFFFF"/>
        <w:spacing w:after="0"/>
        <w:jc w:val="both"/>
        <w:rPr>
          <w:rFonts w:ascii="Arial" w:hAnsi="Arial" w:cs="Arial"/>
          <w:bCs/>
          <w:sz w:val="24"/>
          <w:szCs w:val="24"/>
        </w:rPr>
      </w:pPr>
      <w:r w:rsidRPr="00716746">
        <w:rPr>
          <w:rFonts w:ascii="Arial" w:hAnsi="Arial" w:cs="Arial"/>
          <w:bCs/>
          <w:noProof/>
          <w:sz w:val="24"/>
          <w:szCs w:val="24"/>
        </w:rPr>
        <w:drawing>
          <wp:inline distT="0" distB="0" distL="0" distR="0" wp14:anchorId="48DF95FE" wp14:editId="0F01DB30">
            <wp:extent cx="5612130" cy="2318385"/>
            <wp:effectExtent l="0" t="0" r="762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18385"/>
                    </a:xfrm>
                    <a:prstGeom prst="rect">
                      <a:avLst/>
                    </a:prstGeom>
                  </pic:spPr>
                </pic:pic>
              </a:graphicData>
            </a:graphic>
          </wp:inline>
        </w:drawing>
      </w:r>
    </w:p>
    <w:p w14:paraId="605E1628" w14:textId="77777777" w:rsidR="005B2BDF" w:rsidRPr="005B2BDF" w:rsidRDefault="005B2BDF" w:rsidP="005B2BDF">
      <w:pPr>
        <w:shd w:val="clear" w:color="auto" w:fill="FFFFFF"/>
        <w:spacing w:after="0"/>
        <w:jc w:val="both"/>
        <w:rPr>
          <w:rFonts w:ascii="Arial" w:hAnsi="Arial" w:cs="Arial"/>
          <w:bCs/>
          <w:sz w:val="24"/>
          <w:szCs w:val="24"/>
        </w:rPr>
      </w:pPr>
    </w:p>
    <w:p w14:paraId="3BC0E476" w14:textId="6C6CFAF7" w:rsidR="00B10B9B" w:rsidRPr="00B10B9B" w:rsidRDefault="00B10B9B" w:rsidP="00B10B9B">
      <w:pPr>
        <w:jc w:val="both"/>
        <w:rPr>
          <w:rFonts w:ascii="Arial" w:hAnsi="Arial" w:cs="Arial"/>
          <w:bCs/>
          <w:sz w:val="24"/>
          <w:szCs w:val="24"/>
        </w:rPr>
      </w:pPr>
      <w:r w:rsidRPr="00B10B9B">
        <w:rPr>
          <w:rFonts w:ascii="Arial" w:hAnsi="Arial" w:cs="Arial"/>
          <w:bCs/>
          <w:sz w:val="24"/>
          <w:szCs w:val="24"/>
        </w:rPr>
        <w:t>Cada una de las solicitudes recibidas fue objeto de un análisis riguroso por parte del Comité de Conciliación, el cual concluyó que no procedía conciliar en ninguno de los casos. Esta postura refleja la aplicación rigurosa de los criterios jurídicos y administrativos establecidos, asegurando que las decisiones adoptadas se fundamentaran en una evaluación detallada de las circunstancias y en el estricto cumplimiento del marco normativo vigente.</w:t>
      </w:r>
    </w:p>
    <w:p w14:paraId="36678B42" w14:textId="72095E21" w:rsidR="005B2BDF" w:rsidRPr="005B2BDF" w:rsidRDefault="005B2BDF" w:rsidP="005B2BDF">
      <w:pPr>
        <w:shd w:val="clear" w:color="auto" w:fill="FFFFFF"/>
        <w:spacing w:after="0"/>
        <w:jc w:val="both"/>
        <w:rPr>
          <w:rFonts w:ascii="Arial" w:hAnsi="Arial" w:cs="Arial"/>
          <w:bCs/>
          <w:sz w:val="24"/>
          <w:szCs w:val="24"/>
        </w:rPr>
      </w:pPr>
    </w:p>
    <w:p w14:paraId="3D562EF4" w14:textId="77777777" w:rsidR="005B2BDF" w:rsidRPr="005B2BDF" w:rsidRDefault="005B2BDF" w:rsidP="005B2BDF">
      <w:pPr>
        <w:shd w:val="clear" w:color="auto" w:fill="FFFFFF"/>
        <w:spacing w:after="0"/>
        <w:jc w:val="both"/>
        <w:rPr>
          <w:rFonts w:ascii="Arial" w:hAnsi="Arial" w:cs="Arial"/>
          <w:bCs/>
          <w:sz w:val="24"/>
          <w:szCs w:val="24"/>
        </w:rPr>
      </w:pPr>
    </w:p>
    <w:p w14:paraId="2E542786" w14:textId="22FD2551" w:rsidR="005B2BDF" w:rsidRPr="005B2BDF" w:rsidRDefault="005B2BDF" w:rsidP="005B2BDF">
      <w:pPr>
        <w:shd w:val="clear" w:color="auto" w:fill="FFFFFF"/>
        <w:spacing w:after="0"/>
        <w:jc w:val="both"/>
        <w:rPr>
          <w:rFonts w:ascii="Arial" w:hAnsi="Arial" w:cs="Arial"/>
          <w:bCs/>
          <w:sz w:val="24"/>
          <w:szCs w:val="24"/>
        </w:rPr>
      </w:pPr>
    </w:p>
    <w:p w14:paraId="6D7D1432" w14:textId="0A4D14B8" w:rsidR="005B2BDF" w:rsidRPr="005B2BDF" w:rsidRDefault="002E4DEB" w:rsidP="005B2BDF">
      <w:pPr>
        <w:shd w:val="clear" w:color="auto" w:fill="FFFFFF"/>
        <w:spacing w:after="0"/>
        <w:jc w:val="both"/>
        <w:rPr>
          <w:rFonts w:ascii="Arial" w:hAnsi="Arial" w:cs="Arial"/>
          <w:bCs/>
          <w:sz w:val="24"/>
          <w:szCs w:val="24"/>
        </w:rPr>
      </w:pPr>
      <w:r w:rsidRPr="002E4DEB">
        <w:rPr>
          <w:rFonts w:ascii="Arial" w:hAnsi="Arial" w:cs="Arial"/>
          <w:bCs/>
          <w:noProof/>
          <w:sz w:val="24"/>
          <w:szCs w:val="24"/>
        </w:rPr>
        <w:lastRenderedPageBreak/>
        <w:drawing>
          <wp:inline distT="0" distB="0" distL="0" distR="0" wp14:anchorId="4A209290" wp14:editId="38E8C43C">
            <wp:extent cx="5612130" cy="6015355"/>
            <wp:effectExtent l="0" t="0" r="762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015355"/>
                    </a:xfrm>
                    <a:prstGeom prst="rect">
                      <a:avLst/>
                    </a:prstGeom>
                  </pic:spPr>
                </pic:pic>
              </a:graphicData>
            </a:graphic>
          </wp:inline>
        </w:drawing>
      </w:r>
    </w:p>
    <w:p w14:paraId="727CBE2B" w14:textId="67938FB6" w:rsidR="005B2BDF" w:rsidRPr="005B2BDF" w:rsidRDefault="005B2BDF" w:rsidP="005B2BDF">
      <w:pPr>
        <w:shd w:val="clear" w:color="auto" w:fill="FFFFFF"/>
        <w:spacing w:after="0"/>
        <w:jc w:val="both"/>
        <w:rPr>
          <w:rFonts w:ascii="Arial" w:hAnsi="Arial" w:cs="Arial"/>
          <w:bCs/>
          <w:sz w:val="24"/>
          <w:szCs w:val="24"/>
        </w:rPr>
      </w:pPr>
    </w:p>
    <w:p w14:paraId="43A00FEB" w14:textId="77777777" w:rsidR="00D70AE3" w:rsidRPr="00D70AE3"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lastRenderedPageBreak/>
        <w:t>Durante el periodo evaluado, las pretensiones económicas consignadas en las solicitudes de conciliación fluctuaron entre $21.873.576 y $704.850.000, lo que evidencia la amplitud y heterogeneidad de los asuntos que fueron objeto de análisis por parte del Comité de Conciliación.</w:t>
      </w:r>
    </w:p>
    <w:p w14:paraId="6E8F74FF" w14:textId="77777777" w:rsidR="00D70AE3" w:rsidRPr="00D70AE3" w:rsidRDefault="00D70AE3" w:rsidP="00D70AE3">
      <w:pPr>
        <w:shd w:val="clear" w:color="auto" w:fill="FFFFFF"/>
        <w:spacing w:after="0"/>
        <w:jc w:val="both"/>
        <w:rPr>
          <w:rFonts w:ascii="Arial" w:hAnsi="Arial" w:cs="Arial"/>
          <w:bCs/>
          <w:sz w:val="24"/>
          <w:szCs w:val="24"/>
        </w:rPr>
      </w:pPr>
    </w:p>
    <w:p w14:paraId="1088578C" w14:textId="77777777" w:rsidR="00D70AE3" w:rsidRPr="00D70AE3"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t>Cabe señalar que en el semestre revisado no se presentó ninguna acción de repetición para ser considerada por el Comité, lo cual sugiere que no se identificaron situaciones que justificaran iniciar procedimientos orientados a la recuperación de recursos públicos por actuaciones atribuibles a servidores o particulares que hubiesen generado perjuicios a la Entidad.</w:t>
      </w:r>
    </w:p>
    <w:p w14:paraId="5993418B" w14:textId="77777777" w:rsidR="00D70AE3" w:rsidRPr="00D70AE3" w:rsidRDefault="00D70AE3" w:rsidP="00D70AE3">
      <w:pPr>
        <w:shd w:val="clear" w:color="auto" w:fill="FFFFFF"/>
        <w:spacing w:after="0"/>
        <w:jc w:val="both"/>
        <w:rPr>
          <w:rFonts w:ascii="Arial" w:hAnsi="Arial" w:cs="Arial"/>
          <w:bCs/>
          <w:sz w:val="24"/>
          <w:szCs w:val="24"/>
        </w:rPr>
      </w:pPr>
    </w:p>
    <w:p w14:paraId="0146475E" w14:textId="77777777" w:rsidR="00D70AE3" w:rsidRPr="00D70AE3"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t>En términos generales, el estudio de las solicitudes de conciliación y las decisiones adoptadas en los primeros seis meses de 2025 refleja un manejo técnico, responsable y fundamentado en el marco legal aplicable. Asimismo, confirma el compromiso de la Institución Universitaria Pascual Bravo con la transparencia, la legalidad y la administración eficiente de los recursos públicos, promoviendo la prevención del daño antijurídico y el fortalecimiento de prácticas de gestión responsables y orientadas a la mejora permanente.</w:t>
      </w:r>
    </w:p>
    <w:p w14:paraId="002C9AC6" w14:textId="77777777" w:rsidR="00D70AE3" w:rsidRPr="00D70AE3" w:rsidRDefault="00D70AE3" w:rsidP="00D70AE3">
      <w:pPr>
        <w:shd w:val="clear" w:color="auto" w:fill="FFFFFF"/>
        <w:spacing w:after="0"/>
        <w:jc w:val="both"/>
        <w:rPr>
          <w:rFonts w:ascii="Arial" w:hAnsi="Arial" w:cs="Arial"/>
          <w:bCs/>
          <w:sz w:val="24"/>
          <w:szCs w:val="24"/>
        </w:rPr>
      </w:pPr>
    </w:p>
    <w:p w14:paraId="4A3A4531" w14:textId="77777777" w:rsidR="00D70AE3" w:rsidRPr="00D70AE3"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t>Por otro lado, durante el mismo periodo se adelantaron distintas actuaciones relacionadas con la gestión judicial y administrativa de la Institución. Entre enero y junio, se verificó que todos los procesos judiciales permanecieran actualizados en cuanto a su estado procesal y actuaciones respectivas dentro del sistema. Como parte de las acciones periódicas, al cierre del semestre se presentó un informe de gestión que detalló los procesos asignados a cada abogado responsable de la representación judicial de la Entidad.</w:t>
      </w:r>
    </w:p>
    <w:p w14:paraId="387D5509" w14:textId="77777777" w:rsidR="00D70AE3" w:rsidRPr="00D70AE3" w:rsidRDefault="00D70AE3" w:rsidP="00D70AE3">
      <w:pPr>
        <w:shd w:val="clear" w:color="auto" w:fill="FFFFFF"/>
        <w:spacing w:after="0"/>
        <w:jc w:val="both"/>
        <w:rPr>
          <w:rFonts w:ascii="Arial" w:hAnsi="Arial" w:cs="Arial"/>
          <w:bCs/>
          <w:sz w:val="24"/>
          <w:szCs w:val="24"/>
        </w:rPr>
      </w:pPr>
    </w:p>
    <w:p w14:paraId="3415E7A2" w14:textId="2371A3EF" w:rsidR="003F1154" w:rsidRPr="003F1154" w:rsidRDefault="00D70AE3" w:rsidP="000009FF">
      <w:pPr>
        <w:shd w:val="clear" w:color="auto" w:fill="FFFFFF"/>
        <w:spacing w:after="0"/>
        <w:jc w:val="both"/>
        <w:rPr>
          <w:rFonts w:ascii="Arial" w:hAnsi="Arial" w:cs="Arial"/>
          <w:bCs/>
          <w:sz w:val="24"/>
          <w:szCs w:val="24"/>
        </w:rPr>
      </w:pPr>
      <w:r w:rsidRPr="00D70AE3">
        <w:rPr>
          <w:rFonts w:ascii="Arial" w:hAnsi="Arial" w:cs="Arial"/>
          <w:bCs/>
          <w:sz w:val="24"/>
          <w:szCs w:val="24"/>
        </w:rPr>
        <w:t>En lo concerniente a los procesos del Impuesto Predial, cuya resolución por parte del Comité fue el reconocimiento y pago, se confirmó que los desembolsos se efectuaron conforme a lo aprobado.</w:t>
      </w:r>
      <w:r w:rsidR="000009FF">
        <w:rPr>
          <w:rFonts w:ascii="Arial" w:hAnsi="Arial" w:cs="Arial"/>
          <w:bCs/>
          <w:sz w:val="24"/>
          <w:szCs w:val="24"/>
        </w:rPr>
        <w:t xml:space="preserve"> </w:t>
      </w:r>
      <w:r w:rsidR="003F1154" w:rsidRPr="003F1154">
        <w:rPr>
          <w:rFonts w:ascii="Arial" w:hAnsi="Arial" w:cs="Arial"/>
          <w:bCs/>
          <w:sz w:val="24"/>
          <w:szCs w:val="24"/>
        </w:rPr>
        <w:t>La Institución Universitaria Pascual Bravo es propietaria del inmueble</w:t>
      </w:r>
      <w:r w:rsidR="000009FF">
        <w:rPr>
          <w:rFonts w:ascii="Arial" w:hAnsi="Arial" w:cs="Arial"/>
          <w:bCs/>
          <w:sz w:val="24"/>
          <w:szCs w:val="24"/>
        </w:rPr>
        <w:t xml:space="preserve"> identificado con</w:t>
      </w:r>
      <w:r w:rsidR="003F1154" w:rsidRPr="003F1154">
        <w:rPr>
          <w:rFonts w:ascii="Arial" w:hAnsi="Arial" w:cs="Arial"/>
          <w:bCs/>
          <w:sz w:val="24"/>
          <w:szCs w:val="24"/>
        </w:rPr>
        <w:t xml:space="preserve"> matrícula</w:t>
      </w:r>
      <w:r w:rsidR="00C54CDB">
        <w:rPr>
          <w:rFonts w:ascii="Arial" w:hAnsi="Arial" w:cs="Arial"/>
          <w:bCs/>
          <w:sz w:val="24"/>
          <w:szCs w:val="24"/>
        </w:rPr>
        <w:t xml:space="preserve"> </w:t>
      </w:r>
      <w:r w:rsidR="003F1154" w:rsidRPr="003F1154">
        <w:rPr>
          <w:rFonts w:ascii="Arial" w:hAnsi="Arial" w:cs="Arial"/>
          <w:bCs/>
          <w:sz w:val="24"/>
          <w:szCs w:val="24"/>
        </w:rPr>
        <w:t>inmobiliaria 01N</w:t>
      </w:r>
      <w:r w:rsidR="000009FF">
        <w:rPr>
          <w:rFonts w:ascii="Arial" w:hAnsi="Arial" w:cs="Arial"/>
          <w:bCs/>
          <w:sz w:val="24"/>
          <w:szCs w:val="24"/>
        </w:rPr>
        <w:t>-</w:t>
      </w:r>
      <w:r w:rsidR="003F1154" w:rsidRPr="003F1154">
        <w:rPr>
          <w:rFonts w:ascii="Arial" w:hAnsi="Arial" w:cs="Arial"/>
          <w:bCs/>
          <w:sz w:val="24"/>
          <w:szCs w:val="24"/>
        </w:rPr>
        <w:t>101869, ubicado en la Calle 73</w:t>
      </w:r>
      <w:r w:rsidR="00D06965">
        <w:rPr>
          <w:rFonts w:ascii="Arial" w:hAnsi="Arial" w:cs="Arial"/>
          <w:bCs/>
          <w:sz w:val="24"/>
          <w:szCs w:val="24"/>
        </w:rPr>
        <w:t xml:space="preserve"> </w:t>
      </w:r>
      <w:r w:rsidR="003F1154" w:rsidRPr="003F1154">
        <w:rPr>
          <w:rFonts w:ascii="Arial" w:hAnsi="Arial" w:cs="Arial"/>
          <w:bCs/>
          <w:sz w:val="24"/>
          <w:szCs w:val="24"/>
        </w:rPr>
        <w:t xml:space="preserve">73A 226 de Medellín, sobre el cual se causa el Impuesto Predial Unificado. Si bien contaba con exención hasta el 31 de diciembre de 2023, </w:t>
      </w:r>
      <w:r w:rsidR="003F1154" w:rsidRPr="003F1154">
        <w:rPr>
          <w:rFonts w:ascii="Arial" w:hAnsi="Arial" w:cs="Arial"/>
          <w:bCs/>
          <w:sz w:val="24"/>
          <w:szCs w:val="24"/>
        </w:rPr>
        <w:lastRenderedPageBreak/>
        <w:t xml:space="preserve">el 13 de febrero de 2024 se emitió el cobro </w:t>
      </w:r>
      <w:r w:rsidR="00D06965">
        <w:rPr>
          <w:rFonts w:ascii="Arial" w:hAnsi="Arial" w:cs="Arial"/>
          <w:bCs/>
          <w:sz w:val="24"/>
          <w:szCs w:val="24"/>
        </w:rPr>
        <w:t xml:space="preserve">bajo </w:t>
      </w:r>
      <w:r w:rsidR="003F1154" w:rsidRPr="003F1154">
        <w:rPr>
          <w:rFonts w:ascii="Arial" w:hAnsi="Arial" w:cs="Arial"/>
          <w:bCs/>
          <w:sz w:val="24"/>
          <w:szCs w:val="24"/>
        </w:rPr>
        <w:t>radicado No. R 2024000497 por el primer trimestre de 2024. Según el artículo 377 del Acuerdo 093 de 2023, los inmuebles de entidades públicas destinados exclusivamente a educación formal son exentos siempre que estén al día y acrediten su condición con certificado de existencia y representación. En consecuencia, mediante radicado interno 2024000791 y radicado del Distrito 202410078581, el 29 de febrero de 2024 se solicitó dicha exención.</w:t>
      </w:r>
    </w:p>
    <w:p w14:paraId="4764082B" w14:textId="77777777" w:rsidR="003F1154" w:rsidRPr="003F1154" w:rsidRDefault="003F1154" w:rsidP="003F1154">
      <w:pPr>
        <w:shd w:val="clear" w:color="auto" w:fill="FFFFFF"/>
        <w:spacing w:after="0"/>
        <w:jc w:val="both"/>
        <w:rPr>
          <w:rFonts w:ascii="Arial" w:hAnsi="Arial" w:cs="Arial"/>
          <w:bCs/>
          <w:sz w:val="24"/>
          <w:szCs w:val="24"/>
        </w:rPr>
      </w:pPr>
    </w:p>
    <w:p w14:paraId="639A3D0D" w14:textId="7702D410" w:rsidR="003F1154" w:rsidRPr="003F1154" w:rsidRDefault="003F1154" w:rsidP="003F1154">
      <w:pPr>
        <w:shd w:val="clear" w:color="auto" w:fill="FFFFFF"/>
        <w:spacing w:after="0"/>
        <w:jc w:val="both"/>
        <w:rPr>
          <w:rFonts w:ascii="Arial" w:hAnsi="Arial" w:cs="Arial"/>
          <w:bCs/>
          <w:sz w:val="24"/>
          <w:szCs w:val="24"/>
        </w:rPr>
      </w:pPr>
      <w:r w:rsidRPr="003F1154">
        <w:rPr>
          <w:rFonts w:ascii="Arial" w:hAnsi="Arial" w:cs="Arial"/>
          <w:bCs/>
          <w:sz w:val="24"/>
          <w:szCs w:val="24"/>
        </w:rPr>
        <w:t>No obstante, el 21 de enero de 2025 el Distrito generó la factura 1125079962820 por $690.362.274</w:t>
      </w:r>
      <w:r w:rsidR="00CB5B6D">
        <w:rPr>
          <w:rFonts w:ascii="Arial" w:hAnsi="Arial" w:cs="Arial"/>
          <w:bCs/>
          <w:sz w:val="24"/>
          <w:szCs w:val="24"/>
        </w:rPr>
        <w:t xml:space="preserve">. </w:t>
      </w:r>
      <w:r w:rsidRPr="003F1154">
        <w:rPr>
          <w:rFonts w:ascii="Arial" w:hAnsi="Arial" w:cs="Arial"/>
          <w:bCs/>
          <w:sz w:val="24"/>
          <w:szCs w:val="24"/>
        </w:rPr>
        <w:t>Al negarse la exención</w:t>
      </w:r>
      <w:r w:rsidR="00CB5B6D">
        <w:rPr>
          <w:rFonts w:ascii="Arial" w:hAnsi="Arial" w:cs="Arial"/>
          <w:bCs/>
          <w:sz w:val="24"/>
          <w:szCs w:val="24"/>
        </w:rPr>
        <w:t xml:space="preserve"> a través de </w:t>
      </w:r>
      <w:r w:rsidRPr="003F1154">
        <w:rPr>
          <w:rFonts w:ascii="Arial" w:hAnsi="Arial" w:cs="Arial"/>
          <w:bCs/>
          <w:sz w:val="24"/>
          <w:szCs w:val="24"/>
        </w:rPr>
        <w:t xml:space="preserve">Resolución 202550007821, </w:t>
      </w:r>
      <w:r w:rsidR="00CB5B6D">
        <w:rPr>
          <w:rFonts w:ascii="Arial" w:hAnsi="Arial" w:cs="Arial"/>
          <w:bCs/>
          <w:sz w:val="24"/>
          <w:szCs w:val="24"/>
        </w:rPr>
        <w:t xml:space="preserve">del </w:t>
      </w:r>
      <w:r w:rsidRPr="003F1154">
        <w:rPr>
          <w:rFonts w:ascii="Arial" w:hAnsi="Arial" w:cs="Arial"/>
          <w:bCs/>
          <w:sz w:val="24"/>
          <w:szCs w:val="24"/>
        </w:rPr>
        <w:t>17</w:t>
      </w:r>
      <w:r w:rsidR="00CB5B6D">
        <w:rPr>
          <w:rFonts w:ascii="Arial" w:hAnsi="Arial" w:cs="Arial"/>
          <w:bCs/>
          <w:sz w:val="24"/>
          <w:szCs w:val="24"/>
        </w:rPr>
        <w:t xml:space="preserve"> de marzo de </w:t>
      </w:r>
      <w:r w:rsidRPr="003F1154">
        <w:rPr>
          <w:rFonts w:ascii="Arial" w:hAnsi="Arial" w:cs="Arial"/>
          <w:bCs/>
          <w:sz w:val="24"/>
          <w:szCs w:val="24"/>
        </w:rPr>
        <w:t>2025</w:t>
      </w:r>
      <w:r w:rsidR="00CB5B6D">
        <w:rPr>
          <w:rFonts w:ascii="Arial" w:hAnsi="Arial" w:cs="Arial"/>
          <w:bCs/>
          <w:sz w:val="24"/>
          <w:szCs w:val="24"/>
        </w:rPr>
        <w:t xml:space="preserve"> </w:t>
      </w:r>
      <w:r w:rsidRPr="003F1154">
        <w:rPr>
          <w:rFonts w:ascii="Arial" w:hAnsi="Arial" w:cs="Arial"/>
          <w:bCs/>
          <w:sz w:val="24"/>
          <w:szCs w:val="24"/>
        </w:rPr>
        <w:t>y no haberse tramitado en plazo sin recargo, el pago se efectuó el 27 de marzo de 2025. El día siguiente se reiteró la solicitud de exención. Posteriormente, el 2 de abril de 2025 se facturó el segundo trimestre por $173.962.610 (incluyendo tasa ambiental y recargo). La exención fue denegada nuevamente el 5 de mayo</w:t>
      </w:r>
      <w:r w:rsidR="00406B04">
        <w:rPr>
          <w:rFonts w:ascii="Arial" w:hAnsi="Arial" w:cs="Arial"/>
          <w:bCs/>
          <w:sz w:val="24"/>
          <w:szCs w:val="24"/>
        </w:rPr>
        <w:t xml:space="preserve"> mediante </w:t>
      </w:r>
      <w:r w:rsidRPr="003F1154">
        <w:rPr>
          <w:rFonts w:ascii="Arial" w:hAnsi="Arial" w:cs="Arial"/>
          <w:bCs/>
          <w:sz w:val="24"/>
          <w:szCs w:val="24"/>
        </w:rPr>
        <w:t>Resolución 202530186854</w:t>
      </w:r>
      <w:r w:rsidR="00406B04">
        <w:rPr>
          <w:rFonts w:ascii="Arial" w:hAnsi="Arial" w:cs="Arial"/>
          <w:bCs/>
          <w:sz w:val="24"/>
          <w:szCs w:val="24"/>
        </w:rPr>
        <w:t xml:space="preserve"> </w:t>
      </w:r>
      <w:r w:rsidRPr="003F1154">
        <w:rPr>
          <w:rFonts w:ascii="Arial" w:hAnsi="Arial" w:cs="Arial"/>
          <w:bCs/>
          <w:sz w:val="24"/>
          <w:szCs w:val="24"/>
        </w:rPr>
        <w:t>por existir saldo pendiente asociado al recargo del primer semestre. Frente a este escenario, se hace necesario efectuar el pago por el total indicado y, en paralelo, analizar la eventualidad del pago con recargo del primer trimestre, así como determinar si cabe abrir acciones disciplinarias o fiscales, o iniciar una acción de repetición para resarcir los costos incurridos innecesariamente.</w:t>
      </w:r>
    </w:p>
    <w:p w14:paraId="6BAF46CF" w14:textId="77777777" w:rsidR="00D70AE3" w:rsidRDefault="00D70AE3" w:rsidP="00D70AE3">
      <w:pPr>
        <w:shd w:val="clear" w:color="auto" w:fill="FFFFFF"/>
        <w:spacing w:after="0"/>
        <w:jc w:val="both"/>
        <w:rPr>
          <w:rFonts w:ascii="Arial" w:hAnsi="Arial" w:cs="Arial"/>
          <w:bCs/>
          <w:sz w:val="24"/>
          <w:szCs w:val="24"/>
        </w:rPr>
      </w:pPr>
    </w:p>
    <w:p w14:paraId="101A5DCB" w14:textId="77777777" w:rsidR="00D70AE3" w:rsidRPr="00D70AE3"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t>Durante marzo, los integrantes del Comité participaron en una jornada de capacitación organizada por la Procuraduría General de la Nación, enfocada en la actualización de conocimientos en materia de conciliación y defensa judicial.</w:t>
      </w:r>
    </w:p>
    <w:p w14:paraId="5E8CE3CD" w14:textId="77777777" w:rsidR="00D70AE3" w:rsidRPr="00D70AE3" w:rsidRDefault="00D70AE3" w:rsidP="00D70AE3">
      <w:pPr>
        <w:shd w:val="clear" w:color="auto" w:fill="FFFFFF"/>
        <w:spacing w:after="0"/>
        <w:jc w:val="both"/>
        <w:rPr>
          <w:rFonts w:ascii="Arial" w:hAnsi="Arial" w:cs="Arial"/>
          <w:bCs/>
          <w:sz w:val="24"/>
          <w:szCs w:val="24"/>
        </w:rPr>
      </w:pPr>
    </w:p>
    <w:p w14:paraId="1A2C719D" w14:textId="6CE3027A" w:rsidR="0012511D" w:rsidRPr="0012511D" w:rsidRDefault="0012511D" w:rsidP="0012511D">
      <w:pPr>
        <w:shd w:val="clear" w:color="auto" w:fill="FFFFFF"/>
        <w:spacing w:after="0"/>
        <w:jc w:val="both"/>
        <w:rPr>
          <w:rFonts w:ascii="Arial" w:hAnsi="Arial" w:cs="Arial"/>
          <w:bCs/>
          <w:sz w:val="24"/>
          <w:szCs w:val="24"/>
        </w:rPr>
      </w:pPr>
      <w:r w:rsidRPr="0012511D">
        <w:rPr>
          <w:rFonts w:ascii="Arial" w:hAnsi="Arial" w:cs="Arial"/>
          <w:bCs/>
          <w:sz w:val="24"/>
          <w:szCs w:val="24"/>
        </w:rPr>
        <w:t xml:space="preserve">En mayo se analizó el contrato GJ 024 de 2022 suscrito con Datolabs, en el que la Institución Universitaria Pascual Bravo no aplicó las retenciones de estampilla y procultura correspondientes, situación señalada por el Distrito en un requerimiento. Ante esto, Pascual Bravo se comunicó con Datolabs, que aceptó reconocer el valor faltante: $14.264.295, proponiendo pagarlo en cuotas. Inicialmente se contempló un contrato de transacción con fuerza ejecutiva, pero Datolabs solicitó cambiarlo a un contrato de reconocimiento de deuda voluntaria, sin cláusula de mérito ejecutivo. El Comité evaluó que, aunque no se establezca mérito ejecutivo, la obligación sigue </w:t>
      </w:r>
      <w:r w:rsidRPr="0012511D">
        <w:rPr>
          <w:rFonts w:ascii="Arial" w:hAnsi="Arial" w:cs="Arial"/>
          <w:bCs/>
          <w:sz w:val="24"/>
          <w:szCs w:val="24"/>
        </w:rPr>
        <w:lastRenderedPageBreak/>
        <w:t xml:space="preserve">siendo clara, expresa y exigible, y su incumplimiento podría llevar a acciones judiciales. Natalia Martínez mencionó que buscaron insistir en un contrato con cláusula ejecutiva, pero Datolabs no lo aceptó y mantiene su propuesta de pago voluntario y en cuotas. Asimismo, advirtió que el valor de unos 14 millones de pesos hace desproporcionado asumir gastos judiciales, aunque el incumplimiento en cuotas permitiría acudir a la jurisdicción. En este sentido, </w:t>
      </w:r>
      <w:r w:rsidR="007A3AF5">
        <w:rPr>
          <w:rFonts w:ascii="Arial" w:hAnsi="Arial" w:cs="Arial"/>
          <w:bCs/>
          <w:sz w:val="24"/>
          <w:szCs w:val="24"/>
        </w:rPr>
        <w:t>desde la Dirección de Evaluación y Control se</w:t>
      </w:r>
      <w:r w:rsidRPr="0012511D">
        <w:rPr>
          <w:rFonts w:ascii="Arial" w:hAnsi="Arial" w:cs="Arial"/>
          <w:bCs/>
          <w:sz w:val="24"/>
          <w:szCs w:val="24"/>
        </w:rPr>
        <w:t xml:space="preserve"> sugirió incluir una cláusula aceleratoria en caso de mora; propuesta sobre la cual se consultará a Datolabs. Precisó además que la</w:t>
      </w:r>
      <w:r w:rsidR="009A5039">
        <w:rPr>
          <w:rFonts w:ascii="Arial" w:hAnsi="Arial" w:cs="Arial"/>
          <w:bCs/>
          <w:sz w:val="24"/>
          <w:szCs w:val="24"/>
        </w:rPr>
        <w:t xml:space="preserve"> Institución </w:t>
      </w:r>
      <w:r w:rsidRPr="0012511D">
        <w:rPr>
          <w:rFonts w:ascii="Arial" w:hAnsi="Arial" w:cs="Arial"/>
          <w:bCs/>
          <w:sz w:val="24"/>
          <w:szCs w:val="24"/>
        </w:rPr>
        <w:t>ya pagó al Distrito el impuesto adeudado, y lo que se busca ahora es recuperar ese valor mediante el contrato con Datolabs.</w:t>
      </w:r>
    </w:p>
    <w:p w14:paraId="360F5E84" w14:textId="77777777" w:rsidR="0012511D" w:rsidRPr="0012511D" w:rsidRDefault="0012511D" w:rsidP="0012511D">
      <w:pPr>
        <w:shd w:val="clear" w:color="auto" w:fill="FFFFFF"/>
        <w:spacing w:after="0"/>
        <w:jc w:val="both"/>
        <w:rPr>
          <w:rFonts w:ascii="Arial" w:hAnsi="Arial" w:cs="Arial"/>
          <w:bCs/>
          <w:sz w:val="24"/>
          <w:szCs w:val="24"/>
        </w:rPr>
      </w:pPr>
    </w:p>
    <w:p w14:paraId="06A9B690" w14:textId="77777777" w:rsidR="0012511D" w:rsidRPr="0012511D" w:rsidRDefault="0012511D" w:rsidP="0012511D">
      <w:pPr>
        <w:shd w:val="clear" w:color="auto" w:fill="FFFFFF"/>
        <w:spacing w:after="0"/>
        <w:jc w:val="both"/>
        <w:rPr>
          <w:rFonts w:ascii="Arial" w:hAnsi="Arial" w:cs="Arial"/>
          <w:bCs/>
          <w:sz w:val="24"/>
          <w:szCs w:val="24"/>
        </w:rPr>
      </w:pPr>
      <w:r w:rsidRPr="0012511D">
        <w:rPr>
          <w:rFonts w:ascii="Arial" w:hAnsi="Arial" w:cs="Arial"/>
          <w:bCs/>
          <w:sz w:val="24"/>
          <w:szCs w:val="24"/>
        </w:rPr>
        <w:t>En paralelo, se recordó un convenio interadministrativo previo con Sapiencia, en el que se definió a Datolabs como ejecutor de programas de “talento especializado”. Se señaló que pudo haber confusión en la aplicación de estampillas, dado que Datolabs entendía que su objeto era educativo —exento de estampilla—, lo que habría causado la omisión. El Distrito, al detectar esta incongruencia en una auditoría, requirió el pago; se aclaró que, aunque la responsabilidad de retener es institucional, el impuesto le corresponde asumirlo a Datolabs, quien ha aceptado hacerlo voluntariamente, y los intereses generados fueron asumidos por el equipo contable interno.</w:t>
      </w:r>
    </w:p>
    <w:p w14:paraId="37CD662A" w14:textId="77777777" w:rsidR="0012511D" w:rsidRPr="0012511D" w:rsidRDefault="0012511D" w:rsidP="0012511D">
      <w:pPr>
        <w:shd w:val="clear" w:color="auto" w:fill="FFFFFF"/>
        <w:spacing w:after="0"/>
        <w:jc w:val="both"/>
        <w:rPr>
          <w:rFonts w:ascii="Arial" w:hAnsi="Arial" w:cs="Arial"/>
          <w:bCs/>
          <w:sz w:val="24"/>
          <w:szCs w:val="24"/>
        </w:rPr>
      </w:pPr>
    </w:p>
    <w:p w14:paraId="5DD52768" w14:textId="0E4AA4EA" w:rsidR="0012511D" w:rsidRPr="0012511D" w:rsidRDefault="0012511D" w:rsidP="0012511D">
      <w:pPr>
        <w:shd w:val="clear" w:color="auto" w:fill="FFFFFF"/>
        <w:spacing w:after="0"/>
        <w:jc w:val="both"/>
        <w:rPr>
          <w:rFonts w:ascii="Arial" w:hAnsi="Arial" w:cs="Arial"/>
          <w:bCs/>
          <w:sz w:val="24"/>
          <w:szCs w:val="24"/>
        </w:rPr>
      </w:pPr>
      <w:r w:rsidRPr="0012511D">
        <w:rPr>
          <w:rFonts w:ascii="Arial" w:hAnsi="Arial" w:cs="Arial"/>
          <w:bCs/>
          <w:sz w:val="24"/>
          <w:szCs w:val="24"/>
        </w:rPr>
        <w:t xml:space="preserve">Natalia Martínez reforzó que el contrato de reconocimiento de deuda permite exigir el pago judicialmente si Datolabs incumple, aunque el documento no lo declare ejecutable automáticamente. Agregó </w:t>
      </w:r>
      <w:r w:rsidR="00EF2E5A" w:rsidRPr="0012511D">
        <w:rPr>
          <w:rFonts w:ascii="Arial" w:hAnsi="Arial" w:cs="Arial"/>
          <w:bCs/>
          <w:sz w:val="24"/>
          <w:szCs w:val="24"/>
        </w:rPr>
        <w:t>que,</w:t>
      </w:r>
      <w:r w:rsidRPr="0012511D">
        <w:rPr>
          <w:rFonts w:ascii="Arial" w:hAnsi="Arial" w:cs="Arial"/>
          <w:bCs/>
          <w:sz w:val="24"/>
          <w:szCs w:val="24"/>
        </w:rPr>
        <w:t xml:space="preserve"> si Datolabs viola el acuerdo, la institución puede demandar. Por su parte, Yuly Santos confirmó que, tras reunirse con Datolabs, se acordó que ellos pagarán la estampilla, y la institución cumplió con el Distrito, dejando ahora en firme la obligación de compensación por parte del contratista.</w:t>
      </w:r>
    </w:p>
    <w:p w14:paraId="5555ABED" w14:textId="77777777" w:rsidR="0012511D" w:rsidRPr="0012511D" w:rsidRDefault="0012511D" w:rsidP="0012511D">
      <w:pPr>
        <w:shd w:val="clear" w:color="auto" w:fill="FFFFFF"/>
        <w:spacing w:after="0"/>
        <w:jc w:val="both"/>
        <w:rPr>
          <w:rFonts w:ascii="Arial" w:hAnsi="Arial" w:cs="Arial"/>
          <w:bCs/>
          <w:sz w:val="24"/>
          <w:szCs w:val="24"/>
        </w:rPr>
      </w:pPr>
    </w:p>
    <w:p w14:paraId="40E48E5E" w14:textId="77777777" w:rsidR="00EF2E5A" w:rsidRDefault="0012511D" w:rsidP="0012511D">
      <w:pPr>
        <w:shd w:val="clear" w:color="auto" w:fill="FFFFFF"/>
        <w:spacing w:after="0"/>
        <w:jc w:val="both"/>
        <w:rPr>
          <w:rFonts w:ascii="Arial" w:hAnsi="Arial" w:cs="Arial"/>
          <w:bCs/>
          <w:sz w:val="24"/>
          <w:szCs w:val="24"/>
        </w:rPr>
      </w:pPr>
      <w:r w:rsidRPr="0012511D">
        <w:rPr>
          <w:rFonts w:ascii="Arial" w:hAnsi="Arial" w:cs="Arial"/>
          <w:bCs/>
          <w:sz w:val="24"/>
          <w:szCs w:val="24"/>
        </w:rPr>
        <w:t xml:space="preserve">Finalmente, Natalia sometió a votación si aprobar el contrato en los términos propuestos (reconocimiento de deuda voluntario, sin mérito ejecutivo, con cláusula aceleratoria para mora), y todos los miembros presentes —Juan Pablo Martínez, Sebastián Arroyave, Yuly Amparo Santos y Jeannette Rocío Gilede González— </w:t>
      </w:r>
      <w:r w:rsidRPr="0012511D">
        <w:rPr>
          <w:rFonts w:ascii="Arial" w:hAnsi="Arial" w:cs="Arial"/>
          <w:bCs/>
          <w:sz w:val="24"/>
          <w:szCs w:val="24"/>
        </w:rPr>
        <w:lastRenderedPageBreak/>
        <w:t>recomendaron firmarlo, alineándose con una solución práctica y jurídica adecuada ante la situación planteada.</w:t>
      </w:r>
    </w:p>
    <w:p w14:paraId="15AAED7D" w14:textId="77777777" w:rsidR="00EF2E5A" w:rsidRDefault="00EF2E5A" w:rsidP="0012511D">
      <w:pPr>
        <w:shd w:val="clear" w:color="auto" w:fill="FFFFFF"/>
        <w:spacing w:after="0"/>
        <w:jc w:val="both"/>
        <w:rPr>
          <w:rFonts w:ascii="Arial" w:hAnsi="Arial" w:cs="Arial"/>
          <w:bCs/>
          <w:sz w:val="24"/>
          <w:szCs w:val="24"/>
        </w:rPr>
      </w:pPr>
    </w:p>
    <w:p w14:paraId="0497515A" w14:textId="14BED0C1" w:rsidR="0067398D" w:rsidRDefault="00D70AE3" w:rsidP="00D70AE3">
      <w:pPr>
        <w:shd w:val="clear" w:color="auto" w:fill="FFFFFF"/>
        <w:spacing w:after="0"/>
        <w:jc w:val="both"/>
        <w:rPr>
          <w:rFonts w:ascii="Arial" w:hAnsi="Arial" w:cs="Arial"/>
          <w:bCs/>
          <w:sz w:val="24"/>
          <w:szCs w:val="24"/>
        </w:rPr>
      </w:pPr>
      <w:r w:rsidRPr="00D70AE3">
        <w:rPr>
          <w:rFonts w:ascii="Arial" w:hAnsi="Arial" w:cs="Arial"/>
          <w:bCs/>
          <w:sz w:val="24"/>
          <w:szCs w:val="24"/>
        </w:rPr>
        <w:t>Finalmente, en junio se socializaron con los miembros del Comité las acciones de mejora propuestas por el área PITS, derivadas de la implementación de la Política de Prevención del Daño Antijurídico. Igualmente, se dio inicio a la revisión del contrato suscrito con la firma responsable de la representación judicial de la Institución.</w:t>
      </w:r>
    </w:p>
    <w:p w14:paraId="1464346A" w14:textId="77777777" w:rsidR="0067398D" w:rsidRDefault="0067398D" w:rsidP="0067398D">
      <w:pPr>
        <w:shd w:val="clear" w:color="auto" w:fill="FFFFFF"/>
        <w:spacing w:after="0"/>
        <w:jc w:val="both"/>
        <w:rPr>
          <w:rFonts w:ascii="Arial" w:hAnsi="Arial" w:cs="Arial"/>
          <w:bCs/>
          <w:sz w:val="24"/>
          <w:szCs w:val="24"/>
        </w:rPr>
      </w:pPr>
    </w:p>
    <w:p w14:paraId="5FE24821" w14:textId="277CFD2F" w:rsidR="00254E66" w:rsidRPr="00BA730E" w:rsidRDefault="00254E66" w:rsidP="00BA730E">
      <w:pPr>
        <w:shd w:val="clear" w:color="auto" w:fill="FFFFFF"/>
        <w:spacing w:after="0"/>
        <w:jc w:val="both"/>
        <w:rPr>
          <w:rFonts w:ascii="Arial" w:hAnsi="Arial" w:cs="Arial"/>
          <w:b/>
          <w:sz w:val="24"/>
          <w:szCs w:val="24"/>
        </w:rPr>
      </w:pPr>
      <w:r w:rsidRPr="00BA730E">
        <w:rPr>
          <w:rFonts w:ascii="Arial" w:hAnsi="Arial" w:cs="Arial"/>
          <w:b/>
          <w:sz w:val="24"/>
          <w:szCs w:val="24"/>
        </w:rPr>
        <w:t>SEGUIMIENTO AL CUMPLIMIENTO DE LAS FUNCIONES DEL SECRETARIO</w:t>
      </w:r>
      <w:r w:rsidR="00EB6CE7" w:rsidRPr="00BA730E">
        <w:rPr>
          <w:rFonts w:ascii="Arial" w:hAnsi="Arial" w:cs="Arial"/>
          <w:b/>
          <w:sz w:val="24"/>
          <w:szCs w:val="24"/>
        </w:rPr>
        <w:t xml:space="preserve"> </w:t>
      </w:r>
      <w:r w:rsidRPr="00BA730E">
        <w:rPr>
          <w:rFonts w:ascii="Arial" w:hAnsi="Arial" w:cs="Arial"/>
          <w:b/>
          <w:sz w:val="24"/>
          <w:szCs w:val="24"/>
        </w:rPr>
        <w:t>DEL COMITÉ DE CONCILIACIÓN</w:t>
      </w:r>
      <w:r w:rsidR="00BA730E" w:rsidRPr="00BA730E">
        <w:rPr>
          <w:rFonts w:ascii="Arial" w:hAnsi="Arial" w:cs="Arial"/>
          <w:b/>
          <w:sz w:val="24"/>
          <w:szCs w:val="24"/>
        </w:rPr>
        <w:t>.</w:t>
      </w:r>
    </w:p>
    <w:p w14:paraId="180E4E54" w14:textId="77777777" w:rsidR="00BA730E" w:rsidRPr="00BA730E" w:rsidRDefault="00BA730E" w:rsidP="00254E66">
      <w:pPr>
        <w:shd w:val="clear" w:color="auto" w:fill="FFFFFF"/>
        <w:spacing w:after="0"/>
        <w:jc w:val="both"/>
        <w:rPr>
          <w:rFonts w:ascii="Arial" w:hAnsi="Arial" w:cs="Arial"/>
          <w:b/>
          <w:sz w:val="24"/>
          <w:szCs w:val="24"/>
        </w:rPr>
      </w:pPr>
    </w:p>
    <w:p w14:paraId="27F916C3" w14:textId="4EA12B7E" w:rsidR="00254E66" w:rsidRPr="00254E66"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t xml:space="preserve">Durante el </w:t>
      </w:r>
      <w:r>
        <w:rPr>
          <w:rFonts w:ascii="Arial" w:hAnsi="Arial" w:cs="Arial"/>
          <w:bCs/>
          <w:sz w:val="24"/>
          <w:szCs w:val="24"/>
        </w:rPr>
        <w:t>primer s</w:t>
      </w:r>
      <w:r w:rsidRPr="00254E66">
        <w:rPr>
          <w:rFonts w:ascii="Arial" w:hAnsi="Arial" w:cs="Arial"/>
          <w:bCs/>
          <w:sz w:val="24"/>
          <w:szCs w:val="24"/>
        </w:rPr>
        <w:t>emestre de 202</w:t>
      </w:r>
      <w:r>
        <w:rPr>
          <w:rFonts w:ascii="Arial" w:hAnsi="Arial" w:cs="Arial"/>
          <w:bCs/>
          <w:sz w:val="24"/>
          <w:szCs w:val="24"/>
        </w:rPr>
        <w:t>5</w:t>
      </w:r>
      <w:r w:rsidRPr="00254E66">
        <w:rPr>
          <w:rFonts w:ascii="Arial" w:hAnsi="Arial" w:cs="Arial"/>
          <w:bCs/>
          <w:sz w:val="24"/>
          <w:szCs w:val="24"/>
        </w:rPr>
        <w:t>, se efectuó la verificación del cumplimiento de lo dispuesto en el artículo 2.2.4.3.1.2.4 del Decreto 1069 de 2015, obteniéndose los resultados que se describen a continuación:</w:t>
      </w:r>
    </w:p>
    <w:p w14:paraId="19EB036B" w14:textId="77777777" w:rsidR="00254E66" w:rsidRPr="00254E66" w:rsidRDefault="00254E66" w:rsidP="00254E66">
      <w:pPr>
        <w:shd w:val="clear" w:color="auto" w:fill="FFFFFF"/>
        <w:spacing w:after="0"/>
        <w:jc w:val="both"/>
        <w:rPr>
          <w:rFonts w:ascii="Arial" w:hAnsi="Arial" w:cs="Arial"/>
          <w:bCs/>
          <w:sz w:val="24"/>
          <w:szCs w:val="24"/>
        </w:rPr>
      </w:pPr>
    </w:p>
    <w:p w14:paraId="67EEEBC5" w14:textId="77777777" w:rsidR="00254E66" w:rsidRPr="00BA730E"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t xml:space="preserve">Dicha norma establece que </w:t>
      </w:r>
      <w:r w:rsidRPr="00BA730E">
        <w:rPr>
          <w:rFonts w:ascii="Arial" w:hAnsi="Arial" w:cs="Arial"/>
          <w:bCs/>
          <w:sz w:val="24"/>
          <w:szCs w:val="24"/>
        </w:rPr>
        <w:t>“El Comité de Conciliación se reunirá no menos de dos veces al mes y cuando las circunstancias lo exijan…”.</w:t>
      </w:r>
    </w:p>
    <w:p w14:paraId="53D7E4D8" w14:textId="77777777" w:rsidR="00254E66" w:rsidRPr="00254E66" w:rsidRDefault="00254E66" w:rsidP="00254E66">
      <w:pPr>
        <w:shd w:val="clear" w:color="auto" w:fill="FFFFFF"/>
        <w:spacing w:after="0"/>
        <w:jc w:val="both"/>
        <w:rPr>
          <w:rFonts w:ascii="Arial" w:hAnsi="Arial" w:cs="Arial"/>
          <w:bCs/>
          <w:sz w:val="24"/>
          <w:szCs w:val="24"/>
        </w:rPr>
      </w:pPr>
    </w:p>
    <w:p w14:paraId="1C730B1D" w14:textId="69317D1B" w:rsidR="00254E66"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t xml:space="preserve">Conforme a la información contenida en las actas de las sesiones celebradas, se constató que el Comité cumplió con el mínimo de reuniones previsto, al reunirse en al menos dos ocasiones mensuales entre </w:t>
      </w:r>
      <w:r w:rsidR="0089465E">
        <w:rPr>
          <w:rFonts w:ascii="Arial" w:hAnsi="Arial" w:cs="Arial"/>
          <w:bCs/>
          <w:sz w:val="24"/>
          <w:szCs w:val="24"/>
        </w:rPr>
        <w:t xml:space="preserve">enero y </w:t>
      </w:r>
      <w:r w:rsidR="00F102B8">
        <w:rPr>
          <w:rFonts w:ascii="Arial" w:hAnsi="Arial" w:cs="Arial"/>
          <w:bCs/>
          <w:sz w:val="24"/>
          <w:szCs w:val="24"/>
        </w:rPr>
        <w:t xml:space="preserve">junio </w:t>
      </w:r>
      <w:r w:rsidRPr="00254E66">
        <w:rPr>
          <w:rFonts w:ascii="Arial" w:hAnsi="Arial" w:cs="Arial"/>
          <w:bCs/>
          <w:sz w:val="24"/>
          <w:szCs w:val="24"/>
        </w:rPr>
        <w:t>de 202</w:t>
      </w:r>
      <w:r w:rsidR="00F102B8">
        <w:rPr>
          <w:rFonts w:ascii="Arial" w:hAnsi="Arial" w:cs="Arial"/>
          <w:bCs/>
          <w:sz w:val="24"/>
          <w:szCs w:val="24"/>
        </w:rPr>
        <w:t>5</w:t>
      </w:r>
      <w:r w:rsidRPr="00254E66">
        <w:rPr>
          <w:rFonts w:ascii="Arial" w:hAnsi="Arial" w:cs="Arial"/>
          <w:bCs/>
          <w:sz w:val="24"/>
          <w:szCs w:val="24"/>
        </w:rPr>
        <w:t xml:space="preserve">. Cabe destacar que en </w:t>
      </w:r>
      <w:r w:rsidR="0089465E">
        <w:rPr>
          <w:rFonts w:ascii="Arial" w:hAnsi="Arial" w:cs="Arial"/>
          <w:bCs/>
          <w:sz w:val="24"/>
          <w:szCs w:val="24"/>
        </w:rPr>
        <w:t>los meses de febrero y marzo se llevaron a cabo 2 sesiones</w:t>
      </w:r>
      <w:r w:rsidRPr="00254E66">
        <w:rPr>
          <w:rFonts w:ascii="Arial" w:hAnsi="Arial" w:cs="Arial"/>
          <w:bCs/>
          <w:sz w:val="24"/>
          <w:szCs w:val="24"/>
        </w:rPr>
        <w:t>, de carácter extraordinario, convocada</w:t>
      </w:r>
      <w:r w:rsidR="0089465E">
        <w:rPr>
          <w:rFonts w:ascii="Arial" w:hAnsi="Arial" w:cs="Arial"/>
          <w:bCs/>
          <w:sz w:val="24"/>
          <w:szCs w:val="24"/>
        </w:rPr>
        <w:t>s</w:t>
      </w:r>
      <w:r w:rsidRPr="00254E66">
        <w:rPr>
          <w:rFonts w:ascii="Arial" w:hAnsi="Arial" w:cs="Arial"/>
          <w:bCs/>
          <w:sz w:val="24"/>
          <w:szCs w:val="24"/>
        </w:rPr>
        <w:t xml:space="preserve"> para atender una situación que requería una decisión urgente.</w:t>
      </w:r>
    </w:p>
    <w:p w14:paraId="2672D97D" w14:textId="77777777" w:rsidR="000B2FAC" w:rsidRPr="00254E66" w:rsidRDefault="000B2FAC" w:rsidP="00254E66">
      <w:pPr>
        <w:shd w:val="clear" w:color="auto" w:fill="FFFFFF"/>
        <w:spacing w:after="0"/>
        <w:jc w:val="both"/>
        <w:rPr>
          <w:rFonts w:ascii="Arial" w:hAnsi="Arial" w:cs="Arial"/>
          <w:bCs/>
          <w:sz w:val="24"/>
          <w:szCs w:val="24"/>
        </w:rPr>
      </w:pPr>
    </w:p>
    <w:p w14:paraId="71C9EBA6" w14:textId="77777777" w:rsidR="00254E66" w:rsidRPr="00254E66"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t>Este cumplimiento refleja no solo el compromiso y la organización del Comité de Conciliación, sino también una consolidación en su capacidad de planificar y ejecutar sus funciones con oportunidad y responsabilidad. Las reuniones fueron debidamente registradas en actas, contribuyendo a la transparencia de los procedimientos y a la eficacia en el tratamiento de los asuntos jurídicos, alineados con los propósitos institucionales y con un enfoque de mejora continua.</w:t>
      </w:r>
    </w:p>
    <w:p w14:paraId="6A622DE6" w14:textId="77777777" w:rsidR="00254E66" w:rsidRPr="00254E66" w:rsidRDefault="00254E66" w:rsidP="00254E66">
      <w:pPr>
        <w:shd w:val="clear" w:color="auto" w:fill="FFFFFF"/>
        <w:spacing w:after="0"/>
        <w:jc w:val="both"/>
        <w:rPr>
          <w:rFonts w:ascii="Arial" w:hAnsi="Arial" w:cs="Arial"/>
          <w:bCs/>
          <w:sz w:val="24"/>
          <w:szCs w:val="24"/>
        </w:rPr>
      </w:pPr>
    </w:p>
    <w:p w14:paraId="5387AE4A" w14:textId="77777777" w:rsidR="00254E66" w:rsidRPr="00254E66"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lastRenderedPageBreak/>
        <w:t>Por otra parte, el artículo 2.2.4.3.1.2.6, numeral 1, del Decreto 1069 de 2015 señala que corresponde al secretario del Comité elaborar las actas de cada sesión y disponer que sean firmadas por el presidente y el secretario que hayan participado, dentro de los cinco días siguientes a la reunión.</w:t>
      </w:r>
    </w:p>
    <w:p w14:paraId="17362FA4" w14:textId="77777777" w:rsidR="00254E66" w:rsidRPr="00254E66" w:rsidRDefault="00254E66" w:rsidP="00254E66">
      <w:pPr>
        <w:shd w:val="clear" w:color="auto" w:fill="FFFFFF"/>
        <w:spacing w:after="0"/>
        <w:jc w:val="both"/>
        <w:rPr>
          <w:rFonts w:ascii="Arial" w:hAnsi="Arial" w:cs="Arial"/>
          <w:bCs/>
          <w:sz w:val="24"/>
          <w:szCs w:val="24"/>
        </w:rPr>
      </w:pPr>
    </w:p>
    <w:p w14:paraId="14CE697E" w14:textId="63495291" w:rsidR="00254E66" w:rsidRPr="00254E66" w:rsidRDefault="00254E66" w:rsidP="00254E66">
      <w:pPr>
        <w:shd w:val="clear" w:color="auto" w:fill="FFFFFF"/>
        <w:spacing w:after="0"/>
        <w:jc w:val="both"/>
        <w:rPr>
          <w:rFonts w:ascii="Arial" w:hAnsi="Arial" w:cs="Arial"/>
          <w:bCs/>
          <w:sz w:val="24"/>
          <w:szCs w:val="24"/>
        </w:rPr>
      </w:pPr>
      <w:r w:rsidRPr="00254E66">
        <w:rPr>
          <w:rFonts w:ascii="Arial" w:hAnsi="Arial" w:cs="Arial"/>
          <w:bCs/>
          <w:sz w:val="24"/>
          <w:szCs w:val="24"/>
        </w:rPr>
        <w:t xml:space="preserve">En el análisis de las actas del periodo </w:t>
      </w:r>
      <w:r w:rsidR="00F14215">
        <w:rPr>
          <w:rFonts w:ascii="Arial" w:hAnsi="Arial" w:cs="Arial"/>
          <w:bCs/>
          <w:sz w:val="24"/>
          <w:szCs w:val="24"/>
        </w:rPr>
        <w:t>analizado</w:t>
      </w:r>
      <w:r w:rsidRPr="00254E66">
        <w:rPr>
          <w:rFonts w:ascii="Arial" w:hAnsi="Arial" w:cs="Arial"/>
          <w:bCs/>
          <w:sz w:val="24"/>
          <w:szCs w:val="24"/>
        </w:rPr>
        <w:t>, se evidenció que, aunque los documentos estaban correctamente elaborados y detallaban las deliberaciones, ninguna contaba con las firmas reglamentarias de los miembros, situación que contraviene la exigencia normativa. Esta omisión afecta la validez formal de las actas y podría poner en entredicho la legitimidad de las decisiones adoptadas, con eventuales repercusiones legales si se emplean como soporte en procesos judiciales o administrativos.</w:t>
      </w:r>
    </w:p>
    <w:p w14:paraId="4DB1C21E" w14:textId="77777777" w:rsidR="00254E66" w:rsidRPr="00254E66" w:rsidRDefault="00254E66" w:rsidP="00254E66">
      <w:pPr>
        <w:shd w:val="clear" w:color="auto" w:fill="FFFFFF"/>
        <w:spacing w:after="0"/>
        <w:jc w:val="both"/>
        <w:rPr>
          <w:rFonts w:ascii="Arial" w:hAnsi="Arial" w:cs="Arial"/>
          <w:bCs/>
          <w:sz w:val="24"/>
          <w:szCs w:val="24"/>
        </w:rPr>
      </w:pPr>
    </w:p>
    <w:p w14:paraId="3770CD58" w14:textId="77777777" w:rsidR="00254E66" w:rsidRPr="00254E66" w:rsidRDefault="00254E66" w:rsidP="00254E66">
      <w:pPr>
        <w:shd w:val="clear" w:color="auto" w:fill="FFFFFF"/>
        <w:spacing w:after="0"/>
        <w:jc w:val="both"/>
        <w:rPr>
          <w:rFonts w:ascii="Arial" w:hAnsi="Arial" w:cs="Arial"/>
          <w:bCs/>
          <w:sz w:val="24"/>
          <w:szCs w:val="24"/>
        </w:rPr>
      </w:pPr>
      <w:r w:rsidRPr="00C213A9">
        <w:rPr>
          <w:rFonts w:ascii="Arial" w:hAnsi="Arial" w:cs="Arial"/>
          <w:bCs/>
          <w:sz w:val="24"/>
          <w:szCs w:val="24"/>
        </w:rPr>
        <w:t>Asimismo, se observó que las actas fueron remitidas en formato Word, lo cual incrementa el riesgo de modificaciones indebidas debido a la facilidad de edición de este tipo de archivo. La carencia de mecanismos de seguridad —como la firma digital, la encriptación o el uso de formatos inalterables— debilita la integridad y autenticidad de los documentos, exponiendo la información a posibles alteraciones no autorizadas.</w:t>
      </w:r>
    </w:p>
    <w:p w14:paraId="7D8277A4" w14:textId="77777777" w:rsidR="00254E66" w:rsidRPr="00254E66" w:rsidRDefault="00254E66" w:rsidP="005772C5">
      <w:pPr>
        <w:shd w:val="clear" w:color="auto" w:fill="FFFFFF"/>
        <w:spacing w:after="0"/>
        <w:jc w:val="both"/>
        <w:rPr>
          <w:rFonts w:ascii="Arial" w:hAnsi="Arial" w:cs="Arial"/>
          <w:bCs/>
          <w:sz w:val="24"/>
          <w:szCs w:val="24"/>
        </w:rPr>
      </w:pPr>
    </w:p>
    <w:p w14:paraId="1134C425" w14:textId="77777777" w:rsid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Es fundamental que se adopten medidas que fortalezcan el manejo documental, como la implementación de firmas digitales que garanticen la autoría y validez de los registros, así como capacitaciones dirigidas a quienes elaboran y gestionan las actas para fomentar prácticas que aseguren su inviolabilidad. Estas acciones contribuirán a consolidar la transparencia y la fiabilidad de los procesos institucionales.</w:t>
      </w:r>
    </w:p>
    <w:p w14:paraId="47E14006" w14:textId="77777777" w:rsidR="00C213A9" w:rsidRPr="00254E66" w:rsidRDefault="00C213A9" w:rsidP="005772C5">
      <w:pPr>
        <w:shd w:val="clear" w:color="auto" w:fill="FFFFFF"/>
        <w:spacing w:after="0"/>
        <w:jc w:val="both"/>
        <w:rPr>
          <w:rFonts w:ascii="Arial" w:hAnsi="Arial" w:cs="Arial"/>
          <w:bCs/>
          <w:sz w:val="24"/>
          <w:szCs w:val="24"/>
        </w:rPr>
      </w:pPr>
    </w:p>
    <w:p w14:paraId="5920B34D" w14:textId="77777777"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El cumplimiento de estos requisitos no solo responde al mandato normativo, sino que también fortalece la confianza de la comunidad y de los entes de control en la institucionalidad y la gestión responsable de la Universidad.</w:t>
      </w:r>
    </w:p>
    <w:p w14:paraId="568B729A" w14:textId="77777777" w:rsidR="00254E66" w:rsidRPr="00254E66" w:rsidRDefault="00254E66" w:rsidP="005772C5">
      <w:pPr>
        <w:shd w:val="clear" w:color="auto" w:fill="FFFFFF"/>
        <w:spacing w:after="0"/>
        <w:jc w:val="both"/>
        <w:rPr>
          <w:rFonts w:ascii="Arial" w:hAnsi="Arial" w:cs="Arial"/>
          <w:bCs/>
          <w:sz w:val="24"/>
          <w:szCs w:val="24"/>
        </w:rPr>
      </w:pPr>
    </w:p>
    <w:p w14:paraId="3EB871C9" w14:textId="6E18EA2E"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 xml:space="preserve">En relación con lo estipulado en el artículo 2.2.4.3.1.2.6, numeral 3, del Decreto 1069 de 2015 —que establece la obligación del secretario de elaborar un informe </w:t>
      </w:r>
      <w:r w:rsidRPr="00254E66">
        <w:rPr>
          <w:rFonts w:ascii="Arial" w:hAnsi="Arial" w:cs="Arial"/>
          <w:bCs/>
          <w:sz w:val="24"/>
          <w:szCs w:val="24"/>
        </w:rPr>
        <w:lastRenderedPageBreak/>
        <w:t xml:space="preserve">semestral de gestión— se confirmó que la Secretaría Técnica presentó el documento correspondiente al </w:t>
      </w:r>
      <w:r w:rsidR="00C602DB">
        <w:rPr>
          <w:rFonts w:ascii="Arial" w:hAnsi="Arial" w:cs="Arial"/>
          <w:bCs/>
          <w:sz w:val="24"/>
          <w:szCs w:val="24"/>
        </w:rPr>
        <w:t>primer</w:t>
      </w:r>
      <w:r w:rsidRPr="00254E66">
        <w:rPr>
          <w:rFonts w:ascii="Arial" w:hAnsi="Arial" w:cs="Arial"/>
          <w:bCs/>
          <w:sz w:val="24"/>
          <w:szCs w:val="24"/>
        </w:rPr>
        <w:t xml:space="preserve"> semestre de 202</w:t>
      </w:r>
      <w:r w:rsidR="00052EBE">
        <w:rPr>
          <w:rFonts w:ascii="Arial" w:hAnsi="Arial" w:cs="Arial"/>
          <w:bCs/>
          <w:sz w:val="24"/>
          <w:szCs w:val="24"/>
        </w:rPr>
        <w:t>5</w:t>
      </w:r>
      <w:r w:rsidRPr="00254E66">
        <w:rPr>
          <w:rFonts w:ascii="Arial" w:hAnsi="Arial" w:cs="Arial"/>
          <w:bCs/>
          <w:sz w:val="24"/>
          <w:szCs w:val="24"/>
        </w:rPr>
        <w:t>. Este informe recoge de manera detallada las actividades desarrolladas, los asuntos tratados y las decisiones adoptadas, ofreciendo una visión integral del funcionamiento del Comité durante el periodo evaluado.</w:t>
      </w:r>
    </w:p>
    <w:p w14:paraId="44F1FED1" w14:textId="77777777" w:rsidR="00254E66" w:rsidRPr="00254E66" w:rsidRDefault="00254E66" w:rsidP="005772C5">
      <w:pPr>
        <w:shd w:val="clear" w:color="auto" w:fill="FFFFFF"/>
        <w:spacing w:after="0"/>
        <w:jc w:val="both"/>
        <w:rPr>
          <w:rFonts w:ascii="Arial" w:hAnsi="Arial" w:cs="Arial"/>
          <w:bCs/>
          <w:sz w:val="24"/>
          <w:szCs w:val="24"/>
        </w:rPr>
      </w:pPr>
    </w:p>
    <w:p w14:paraId="12C966C1" w14:textId="77777777"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El documento también incluye un balance sobre la implementación de la Política de Prevención del Daño Antijurídico, los avances alcanzados, las áreas de oportunidad y recomendaciones orientadas a optimizar la gestión y la defensa de los intereses institucionales. El informe fue formalmente remitido al Rector de la Institución Universitaria Pascual Bravo, como parte del proceso de rendición de cuentas y aseguramiento de la transparencia.</w:t>
      </w:r>
    </w:p>
    <w:p w14:paraId="5377B0E3" w14:textId="77777777" w:rsidR="00254E66" w:rsidRPr="00254E66" w:rsidRDefault="00254E66" w:rsidP="005772C5">
      <w:pPr>
        <w:shd w:val="clear" w:color="auto" w:fill="FFFFFF"/>
        <w:spacing w:after="0"/>
        <w:jc w:val="both"/>
        <w:rPr>
          <w:rFonts w:ascii="Arial" w:hAnsi="Arial" w:cs="Arial"/>
          <w:bCs/>
          <w:sz w:val="24"/>
          <w:szCs w:val="24"/>
        </w:rPr>
      </w:pPr>
    </w:p>
    <w:p w14:paraId="31C9C5D7" w14:textId="77777777"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Esta entrega permite que la Alta Dirección cuente con información actualizada y confiable, indispensable para la toma de decisiones estratégicas y la supervisión de la gestión jurídica. Resulta conveniente, asimismo, establecer canales de retroalimentación con el objetivo de identificar oportunidades de mejora y fortalecer las capacidades del Comité de manera continua.</w:t>
      </w:r>
    </w:p>
    <w:p w14:paraId="24B786A0" w14:textId="77777777" w:rsidR="00254E66" w:rsidRPr="00254E66" w:rsidRDefault="00254E66" w:rsidP="005772C5">
      <w:pPr>
        <w:shd w:val="clear" w:color="auto" w:fill="FFFFFF"/>
        <w:spacing w:after="0"/>
        <w:jc w:val="both"/>
        <w:rPr>
          <w:rFonts w:ascii="Arial" w:hAnsi="Arial" w:cs="Arial"/>
          <w:bCs/>
          <w:sz w:val="24"/>
          <w:szCs w:val="24"/>
        </w:rPr>
      </w:pPr>
    </w:p>
    <w:p w14:paraId="2FB46079" w14:textId="0EB54303"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 xml:space="preserve">En lo que respecta al artículo 2.2.4.3.1.2.6, numeral 5, que establece la obligación de informar al Coordinador de los agentes del Ministerio Público acerca de las decisiones sobre acciones de repetición, se verificó que durante el </w:t>
      </w:r>
      <w:r w:rsidR="00001895">
        <w:rPr>
          <w:rFonts w:ascii="Arial" w:hAnsi="Arial" w:cs="Arial"/>
          <w:bCs/>
          <w:sz w:val="24"/>
          <w:szCs w:val="24"/>
        </w:rPr>
        <w:t>primer</w:t>
      </w:r>
      <w:r w:rsidRPr="00254E66">
        <w:rPr>
          <w:rFonts w:ascii="Arial" w:hAnsi="Arial" w:cs="Arial"/>
          <w:bCs/>
          <w:sz w:val="24"/>
          <w:szCs w:val="24"/>
        </w:rPr>
        <w:t xml:space="preserve"> semestre de 202</w:t>
      </w:r>
      <w:r w:rsidR="00001895">
        <w:rPr>
          <w:rFonts w:ascii="Arial" w:hAnsi="Arial" w:cs="Arial"/>
          <w:bCs/>
          <w:sz w:val="24"/>
          <w:szCs w:val="24"/>
        </w:rPr>
        <w:t>5</w:t>
      </w:r>
      <w:r w:rsidRPr="00254E66">
        <w:rPr>
          <w:rFonts w:ascii="Arial" w:hAnsi="Arial" w:cs="Arial"/>
          <w:bCs/>
          <w:sz w:val="24"/>
          <w:szCs w:val="24"/>
        </w:rPr>
        <w:t xml:space="preserve"> no se iniciaron procedimientos de este tipo, al no haberse emitido sentencias adversas contra la Institución Universitaria Pascual Bravo.</w:t>
      </w:r>
    </w:p>
    <w:p w14:paraId="35E5CC36" w14:textId="77777777" w:rsidR="00254E66" w:rsidRPr="00254E66" w:rsidRDefault="00254E66" w:rsidP="005772C5">
      <w:pPr>
        <w:shd w:val="clear" w:color="auto" w:fill="FFFFFF"/>
        <w:spacing w:after="0"/>
        <w:jc w:val="both"/>
        <w:rPr>
          <w:rFonts w:ascii="Arial" w:hAnsi="Arial" w:cs="Arial"/>
          <w:bCs/>
          <w:sz w:val="24"/>
          <w:szCs w:val="24"/>
        </w:rPr>
      </w:pPr>
    </w:p>
    <w:p w14:paraId="4BD80DAE" w14:textId="77777777"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t>Esta circunstancia da cuenta de una gestión jurídica eficaz, que logró prevenir conflictos que pudieran derivar en condenas patrimoniales y en la necesidad de recuperar recursos públicos mediante acciones de repetición. No obstante, resulta fundamental continuar con la vigilancia permanente de los casos en curso, con el fin de garantizar que, ante la eventual materialización de este tipo de situaciones, se cumpla de manera oportuna con las obligaciones informativas establecidas por la normatividad.</w:t>
      </w:r>
    </w:p>
    <w:p w14:paraId="3A91B2CA" w14:textId="77777777" w:rsidR="00254E66" w:rsidRPr="00254E66" w:rsidRDefault="00254E66" w:rsidP="005772C5">
      <w:pPr>
        <w:shd w:val="clear" w:color="auto" w:fill="FFFFFF"/>
        <w:spacing w:after="0"/>
        <w:jc w:val="both"/>
        <w:rPr>
          <w:rFonts w:ascii="Arial" w:hAnsi="Arial" w:cs="Arial"/>
          <w:bCs/>
          <w:sz w:val="24"/>
          <w:szCs w:val="24"/>
        </w:rPr>
      </w:pPr>
    </w:p>
    <w:p w14:paraId="0284BC6A" w14:textId="06D094BF" w:rsidR="00254E66" w:rsidRPr="00254E66" w:rsidRDefault="00254E66" w:rsidP="005772C5">
      <w:pPr>
        <w:shd w:val="clear" w:color="auto" w:fill="FFFFFF"/>
        <w:spacing w:after="0"/>
        <w:jc w:val="both"/>
        <w:rPr>
          <w:rFonts w:ascii="Arial" w:hAnsi="Arial" w:cs="Arial"/>
          <w:bCs/>
          <w:sz w:val="24"/>
          <w:szCs w:val="24"/>
        </w:rPr>
      </w:pPr>
      <w:r w:rsidRPr="00254E66">
        <w:rPr>
          <w:rFonts w:ascii="Arial" w:hAnsi="Arial" w:cs="Arial"/>
          <w:bCs/>
          <w:sz w:val="24"/>
          <w:szCs w:val="24"/>
        </w:rPr>
        <w:lastRenderedPageBreak/>
        <w:t xml:space="preserve">En síntesis, durante el </w:t>
      </w:r>
      <w:r w:rsidR="001C4E39">
        <w:rPr>
          <w:rFonts w:ascii="Arial" w:hAnsi="Arial" w:cs="Arial"/>
          <w:bCs/>
          <w:sz w:val="24"/>
          <w:szCs w:val="24"/>
        </w:rPr>
        <w:t>primer</w:t>
      </w:r>
      <w:r w:rsidRPr="00254E66">
        <w:rPr>
          <w:rFonts w:ascii="Arial" w:hAnsi="Arial" w:cs="Arial"/>
          <w:bCs/>
          <w:sz w:val="24"/>
          <w:szCs w:val="24"/>
        </w:rPr>
        <w:t xml:space="preserve"> semestre de 202</w:t>
      </w:r>
      <w:r w:rsidR="001C4E39">
        <w:rPr>
          <w:rFonts w:ascii="Arial" w:hAnsi="Arial" w:cs="Arial"/>
          <w:bCs/>
          <w:sz w:val="24"/>
          <w:szCs w:val="24"/>
        </w:rPr>
        <w:t>5</w:t>
      </w:r>
      <w:r w:rsidRPr="00254E66">
        <w:rPr>
          <w:rFonts w:ascii="Arial" w:hAnsi="Arial" w:cs="Arial"/>
          <w:bCs/>
          <w:sz w:val="24"/>
          <w:szCs w:val="24"/>
        </w:rPr>
        <w:t xml:space="preserve"> no fue necesario remitir comunicaciones al Ministerio Público en este sentido, lo que confirma la efectividad de las políticas preventivas implementadas por el Comité y la Institución.</w:t>
      </w:r>
    </w:p>
    <w:p w14:paraId="393CD77F" w14:textId="77777777" w:rsidR="00254E66" w:rsidRPr="00254E66" w:rsidRDefault="00254E66" w:rsidP="00155280">
      <w:pPr>
        <w:shd w:val="clear" w:color="auto" w:fill="FFFFFF"/>
        <w:spacing w:after="0"/>
        <w:jc w:val="both"/>
        <w:rPr>
          <w:rFonts w:ascii="Arial" w:hAnsi="Arial" w:cs="Arial"/>
          <w:bCs/>
          <w:sz w:val="24"/>
          <w:szCs w:val="24"/>
        </w:rPr>
      </w:pPr>
    </w:p>
    <w:p w14:paraId="6E23E453" w14:textId="77777777" w:rsidR="00254E66" w:rsidRPr="00DE2B0D" w:rsidRDefault="00254E66" w:rsidP="00155280">
      <w:pPr>
        <w:shd w:val="clear" w:color="auto" w:fill="FFFFFF"/>
        <w:spacing w:after="0"/>
        <w:jc w:val="both"/>
        <w:rPr>
          <w:rFonts w:ascii="Arial" w:hAnsi="Arial" w:cs="Arial"/>
          <w:bCs/>
          <w:sz w:val="24"/>
          <w:szCs w:val="24"/>
        </w:rPr>
      </w:pPr>
      <w:r w:rsidRPr="00DE2B0D">
        <w:rPr>
          <w:rFonts w:ascii="Arial" w:hAnsi="Arial" w:cs="Arial"/>
          <w:bCs/>
          <w:sz w:val="24"/>
          <w:szCs w:val="24"/>
        </w:rPr>
        <w:t>Respecto a las funciones de diseño e implementación de políticas orientadas a prevenir el daño antijurídico, se constató que la Institución adoptó su Política de Prevención en el año 2015 y que, durante el primer semestre de 2024, se aprobó una actualización integral de dicha política, con el objetivo de adaptarla a los cambios normativos y a las nuevas realidades institucionales.</w:t>
      </w:r>
    </w:p>
    <w:p w14:paraId="71FB360A" w14:textId="77777777" w:rsidR="00254E66" w:rsidRPr="00DE2B0D" w:rsidRDefault="00254E66" w:rsidP="00155280">
      <w:pPr>
        <w:shd w:val="clear" w:color="auto" w:fill="FFFFFF"/>
        <w:spacing w:after="0"/>
        <w:jc w:val="both"/>
        <w:rPr>
          <w:rFonts w:ascii="Arial" w:hAnsi="Arial" w:cs="Arial"/>
          <w:bCs/>
          <w:sz w:val="24"/>
          <w:szCs w:val="24"/>
        </w:rPr>
      </w:pPr>
    </w:p>
    <w:p w14:paraId="4D55216E" w14:textId="77777777" w:rsidR="00254E66" w:rsidRPr="00DE2B0D" w:rsidRDefault="00254E66" w:rsidP="00155280">
      <w:pPr>
        <w:shd w:val="clear" w:color="auto" w:fill="FFFFFF"/>
        <w:spacing w:after="0"/>
        <w:jc w:val="both"/>
        <w:rPr>
          <w:rFonts w:ascii="Arial" w:hAnsi="Arial" w:cs="Arial"/>
          <w:bCs/>
          <w:sz w:val="24"/>
          <w:szCs w:val="24"/>
        </w:rPr>
      </w:pPr>
      <w:r w:rsidRPr="00DE2B0D">
        <w:rPr>
          <w:rFonts w:ascii="Arial" w:hAnsi="Arial" w:cs="Arial"/>
          <w:bCs/>
          <w:sz w:val="24"/>
          <w:szCs w:val="24"/>
        </w:rPr>
        <w:t>Este documento renovado recoge directrices para una gestión proactiva de los riesgos, y se complementa con indicadores que permitirán medir su eficacia y orientar acciones de mejora permanente.</w:t>
      </w:r>
    </w:p>
    <w:p w14:paraId="55F06648" w14:textId="77777777" w:rsidR="00254E66" w:rsidRPr="00E05122" w:rsidRDefault="00254E66" w:rsidP="00155280">
      <w:pPr>
        <w:shd w:val="clear" w:color="auto" w:fill="FFFFFF"/>
        <w:spacing w:after="0"/>
        <w:jc w:val="both"/>
        <w:rPr>
          <w:rFonts w:ascii="Arial" w:hAnsi="Arial" w:cs="Arial"/>
          <w:bCs/>
          <w:sz w:val="24"/>
          <w:szCs w:val="24"/>
          <w:highlight w:val="yellow"/>
        </w:rPr>
      </w:pPr>
    </w:p>
    <w:p w14:paraId="7047FDAE" w14:textId="61AFDD31" w:rsidR="00254E66" w:rsidRDefault="00254E66" w:rsidP="00A40313">
      <w:pPr>
        <w:shd w:val="clear" w:color="auto" w:fill="FFFFFF"/>
        <w:spacing w:after="0"/>
        <w:jc w:val="both"/>
        <w:rPr>
          <w:rFonts w:ascii="Arial" w:hAnsi="Arial" w:cs="Arial"/>
          <w:bCs/>
          <w:sz w:val="24"/>
          <w:szCs w:val="24"/>
        </w:rPr>
      </w:pPr>
      <w:r w:rsidRPr="00DE2B0D">
        <w:rPr>
          <w:rFonts w:ascii="Arial" w:hAnsi="Arial" w:cs="Arial"/>
          <w:bCs/>
          <w:sz w:val="24"/>
          <w:szCs w:val="24"/>
        </w:rPr>
        <w:t>Por otra parte, la Institución cuenta con lineamientos claros para la aplicación de mecanismos de arreglo directo, como la conciliación y la transacción, los cuales son evaluados de forma individualizada, considerando precedentes jurisprudenciales, riesgos y beneficios. Las actas revisadas confirman que los casos se abordaron con criterios técnicos y en coherencia con el marco normativo aplicable.</w:t>
      </w:r>
    </w:p>
    <w:p w14:paraId="5F6B9B50" w14:textId="77777777" w:rsidR="00A40313" w:rsidRDefault="00A40313" w:rsidP="00FF2BA5">
      <w:pPr>
        <w:shd w:val="clear" w:color="auto" w:fill="FFFFFF"/>
        <w:spacing w:after="0"/>
        <w:jc w:val="both"/>
        <w:rPr>
          <w:rFonts w:ascii="Arial" w:hAnsi="Arial" w:cs="Arial"/>
          <w:bCs/>
          <w:sz w:val="24"/>
          <w:szCs w:val="24"/>
        </w:rPr>
      </w:pPr>
    </w:p>
    <w:p w14:paraId="79FF629F" w14:textId="782892C4" w:rsidR="00A40313" w:rsidRDefault="00FF2BA5" w:rsidP="00FF2BA5">
      <w:pPr>
        <w:shd w:val="clear" w:color="auto" w:fill="FFFFFF"/>
        <w:spacing w:after="0"/>
        <w:jc w:val="both"/>
        <w:rPr>
          <w:rFonts w:ascii="Arial" w:hAnsi="Arial" w:cs="Arial"/>
          <w:b/>
          <w:sz w:val="24"/>
          <w:szCs w:val="24"/>
        </w:rPr>
      </w:pPr>
      <w:r w:rsidRPr="00FF2BA5">
        <w:rPr>
          <w:rFonts w:ascii="Arial" w:hAnsi="Arial" w:cs="Arial"/>
          <w:b/>
          <w:sz w:val="24"/>
          <w:szCs w:val="24"/>
        </w:rPr>
        <w:t>ANÁLISIS DE LAS SOLICITUDES DE CONCILIACIÓN POR PARTE DE APODERADOS.</w:t>
      </w:r>
    </w:p>
    <w:p w14:paraId="4919C404" w14:textId="77777777" w:rsidR="00FF2BA5" w:rsidRDefault="00FF2BA5" w:rsidP="00FF2BA5">
      <w:pPr>
        <w:shd w:val="clear" w:color="auto" w:fill="FFFFFF"/>
        <w:spacing w:after="0"/>
        <w:jc w:val="both"/>
        <w:rPr>
          <w:rFonts w:ascii="Arial" w:hAnsi="Arial" w:cs="Arial"/>
          <w:b/>
          <w:sz w:val="24"/>
          <w:szCs w:val="24"/>
        </w:rPr>
      </w:pPr>
    </w:p>
    <w:p w14:paraId="17DB98D0" w14:textId="4635D575" w:rsidR="00FF2BA5" w:rsidRDefault="00BD6EC2" w:rsidP="00FF2BA5">
      <w:pPr>
        <w:shd w:val="clear" w:color="auto" w:fill="FFFFFF"/>
        <w:spacing w:after="0"/>
        <w:jc w:val="both"/>
        <w:rPr>
          <w:rFonts w:ascii="Arial" w:hAnsi="Arial" w:cs="Arial"/>
          <w:bCs/>
          <w:sz w:val="24"/>
          <w:szCs w:val="24"/>
        </w:rPr>
      </w:pPr>
      <w:r w:rsidRPr="00BD6EC2">
        <w:rPr>
          <w:rFonts w:ascii="Arial" w:hAnsi="Arial" w:cs="Arial"/>
          <w:bCs/>
          <w:sz w:val="24"/>
          <w:szCs w:val="24"/>
        </w:rPr>
        <w:t>El Comité de Conciliación examinó cuidadosamente cada solicitud recibida y, tras un análisis minucioso, concluyó que ninguna de ellas cumplía con los requisitos para acogerse a la conciliación mediante los medios de control señalados. Esta decisión pone de manifiesto la aplicación rigurosa de los criterios legales y administrativos pertinentes, garantizando que su fundamentación se ajustó estrictamente a lo establecido en la normativa vigente, en especial al Decreto 1069 de 2015</w:t>
      </w:r>
      <w:r>
        <w:rPr>
          <w:rFonts w:ascii="Arial" w:hAnsi="Arial" w:cs="Arial"/>
          <w:bCs/>
          <w:sz w:val="24"/>
          <w:szCs w:val="24"/>
        </w:rPr>
        <w:t>.</w:t>
      </w:r>
    </w:p>
    <w:p w14:paraId="56557AEF" w14:textId="77777777" w:rsidR="00901596" w:rsidRDefault="00901596" w:rsidP="00FF2BA5">
      <w:pPr>
        <w:shd w:val="clear" w:color="auto" w:fill="FFFFFF"/>
        <w:spacing w:after="0"/>
        <w:jc w:val="both"/>
        <w:rPr>
          <w:rFonts w:ascii="Arial" w:hAnsi="Arial" w:cs="Arial"/>
          <w:bCs/>
          <w:sz w:val="24"/>
          <w:szCs w:val="24"/>
        </w:rPr>
      </w:pPr>
    </w:p>
    <w:p w14:paraId="4CFCA3C5" w14:textId="77777777" w:rsidR="008C2707" w:rsidRDefault="008C2707" w:rsidP="00FF2BA5">
      <w:pPr>
        <w:shd w:val="clear" w:color="auto" w:fill="FFFFFF"/>
        <w:spacing w:after="0"/>
        <w:jc w:val="both"/>
        <w:rPr>
          <w:rFonts w:ascii="Arial" w:hAnsi="Arial" w:cs="Arial"/>
          <w:bCs/>
          <w:sz w:val="24"/>
          <w:szCs w:val="24"/>
        </w:rPr>
      </w:pPr>
    </w:p>
    <w:p w14:paraId="5AB1FE65" w14:textId="77777777" w:rsidR="008C2707" w:rsidRDefault="008C2707" w:rsidP="00FF2BA5">
      <w:pPr>
        <w:shd w:val="clear" w:color="auto" w:fill="FFFFFF"/>
        <w:spacing w:after="0"/>
        <w:jc w:val="both"/>
        <w:rPr>
          <w:rFonts w:ascii="Arial" w:hAnsi="Arial" w:cs="Arial"/>
          <w:bCs/>
          <w:sz w:val="24"/>
          <w:szCs w:val="24"/>
        </w:rPr>
      </w:pPr>
    </w:p>
    <w:p w14:paraId="3F1F08DE" w14:textId="77777777" w:rsidR="008C2707" w:rsidRDefault="008C2707" w:rsidP="00FF2BA5">
      <w:pPr>
        <w:shd w:val="clear" w:color="auto" w:fill="FFFFFF"/>
        <w:spacing w:after="0"/>
        <w:jc w:val="both"/>
        <w:rPr>
          <w:rFonts w:ascii="Arial" w:hAnsi="Arial" w:cs="Arial"/>
          <w:bCs/>
          <w:sz w:val="24"/>
          <w:szCs w:val="24"/>
        </w:rPr>
      </w:pPr>
    </w:p>
    <w:tbl>
      <w:tblPr>
        <w:tblStyle w:val="Tablaconcuadrcula"/>
        <w:tblW w:w="9072" w:type="dxa"/>
        <w:tblInd w:w="-5" w:type="dxa"/>
        <w:tblLayout w:type="fixed"/>
        <w:tblLook w:val="04A0" w:firstRow="1" w:lastRow="0" w:firstColumn="1" w:lastColumn="0" w:noHBand="0" w:noVBand="1"/>
      </w:tblPr>
      <w:tblGrid>
        <w:gridCol w:w="4820"/>
        <w:gridCol w:w="4252"/>
      </w:tblGrid>
      <w:tr w:rsidR="00FF2BA5" w:rsidRPr="00BD6E99" w14:paraId="434E5782" w14:textId="77777777" w:rsidTr="00AA0100">
        <w:tc>
          <w:tcPr>
            <w:tcW w:w="9072" w:type="dxa"/>
            <w:gridSpan w:val="2"/>
          </w:tcPr>
          <w:p w14:paraId="3C527B3B" w14:textId="77777777" w:rsidR="00FF2BA5" w:rsidRPr="001D34C0" w:rsidRDefault="00FF2BA5" w:rsidP="00411F9E">
            <w:pPr>
              <w:pStyle w:val="Textoindependiente"/>
              <w:spacing w:line="276" w:lineRule="auto"/>
              <w:ind w:right="777"/>
              <w:jc w:val="center"/>
              <w:rPr>
                <w:b/>
                <w:bCs/>
              </w:rPr>
            </w:pPr>
            <w:r w:rsidRPr="001D34C0">
              <w:rPr>
                <w:b/>
                <w:bCs/>
              </w:rPr>
              <w:lastRenderedPageBreak/>
              <w:t xml:space="preserve">      Medio de Control de Nulidad y Restablecimiento del Derecho</w:t>
            </w:r>
            <w:r>
              <w:rPr>
                <w:b/>
                <w:bCs/>
              </w:rPr>
              <w:t xml:space="preserve"> y Reparación Directa</w:t>
            </w:r>
          </w:p>
        </w:tc>
      </w:tr>
      <w:tr w:rsidR="00FF2BA5" w:rsidRPr="00BD6E99" w14:paraId="01BD253F" w14:textId="77777777" w:rsidTr="00D85160">
        <w:tc>
          <w:tcPr>
            <w:tcW w:w="4820" w:type="dxa"/>
          </w:tcPr>
          <w:p w14:paraId="2F7FDE3C" w14:textId="77777777" w:rsidR="00FF2BA5" w:rsidRPr="00BD6E99" w:rsidRDefault="00FF2BA5" w:rsidP="00411F9E">
            <w:pPr>
              <w:pStyle w:val="Textoindependiente"/>
              <w:spacing w:line="276" w:lineRule="auto"/>
              <w:ind w:right="777"/>
              <w:jc w:val="center"/>
              <w:rPr>
                <w:b/>
                <w:bCs/>
              </w:rPr>
            </w:pPr>
            <w:r w:rsidRPr="00BD6E99">
              <w:rPr>
                <w:b/>
                <w:bCs/>
              </w:rPr>
              <w:t>Juzgado</w:t>
            </w:r>
          </w:p>
        </w:tc>
        <w:tc>
          <w:tcPr>
            <w:tcW w:w="4252" w:type="dxa"/>
          </w:tcPr>
          <w:p w14:paraId="577D6CA0" w14:textId="77777777" w:rsidR="00FF2BA5" w:rsidRPr="00BD6E99" w:rsidRDefault="00FF2BA5" w:rsidP="00411F9E">
            <w:pPr>
              <w:pStyle w:val="Textoindependiente"/>
              <w:spacing w:line="276" w:lineRule="auto"/>
              <w:ind w:right="777"/>
              <w:jc w:val="center"/>
              <w:rPr>
                <w:b/>
                <w:bCs/>
              </w:rPr>
            </w:pPr>
            <w:r w:rsidRPr="00BD6E99">
              <w:rPr>
                <w:b/>
                <w:bCs/>
              </w:rPr>
              <w:t>Convocante</w:t>
            </w:r>
          </w:p>
        </w:tc>
      </w:tr>
      <w:tr w:rsidR="00FF2BA5" w:rsidRPr="00BD6E99" w14:paraId="78959403" w14:textId="77777777" w:rsidTr="00D85160">
        <w:tc>
          <w:tcPr>
            <w:tcW w:w="4820" w:type="dxa"/>
          </w:tcPr>
          <w:p w14:paraId="504AA3AC" w14:textId="35B56151" w:rsidR="00FF2BA5" w:rsidRPr="00BD6E99" w:rsidRDefault="00FF2BA5" w:rsidP="00411F9E">
            <w:pPr>
              <w:pStyle w:val="Textoindependiente"/>
              <w:spacing w:line="276" w:lineRule="auto"/>
              <w:ind w:right="777"/>
              <w:jc w:val="both"/>
            </w:pPr>
            <w:r w:rsidRPr="00BD6E99">
              <w:t xml:space="preserve">Juzgado </w:t>
            </w:r>
            <w:r>
              <w:t>35</w:t>
            </w:r>
            <w:r w:rsidRPr="00BD6E99">
              <w:t xml:space="preserve"> Administrativo</w:t>
            </w:r>
            <w:r>
              <w:t xml:space="preserve"> de</w:t>
            </w:r>
            <w:r w:rsidRPr="00BD6E99">
              <w:t xml:space="preserve"> Medellín</w:t>
            </w:r>
            <w:r>
              <w:t xml:space="preserve"> </w:t>
            </w:r>
          </w:p>
        </w:tc>
        <w:tc>
          <w:tcPr>
            <w:tcW w:w="4252" w:type="dxa"/>
          </w:tcPr>
          <w:p w14:paraId="5A75E9C2" w14:textId="39766325" w:rsidR="00FF2BA5" w:rsidRPr="00885D27" w:rsidRDefault="00715972" w:rsidP="00411F9E">
            <w:pPr>
              <w:pStyle w:val="Textoindependiente"/>
              <w:spacing w:line="276" w:lineRule="auto"/>
              <w:ind w:right="777"/>
              <w:jc w:val="both"/>
            </w:pPr>
            <w:r w:rsidRPr="00885D27">
              <w:t xml:space="preserve">Claudia Patricia Agredo    </w:t>
            </w:r>
          </w:p>
        </w:tc>
      </w:tr>
      <w:tr w:rsidR="00FF2BA5" w:rsidRPr="00BD6E99" w14:paraId="1324613A" w14:textId="77777777" w:rsidTr="00D85160">
        <w:tc>
          <w:tcPr>
            <w:tcW w:w="4820" w:type="dxa"/>
          </w:tcPr>
          <w:p w14:paraId="1D5C1D72" w14:textId="0C7D8045" w:rsidR="00FF2BA5" w:rsidRPr="00BD6E99" w:rsidRDefault="00FF2BA5" w:rsidP="00411F9E">
            <w:pPr>
              <w:pStyle w:val="Textoindependiente"/>
              <w:spacing w:line="276" w:lineRule="auto"/>
              <w:ind w:right="777"/>
              <w:jc w:val="both"/>
            </w:pPr>
            <w:r w:rsidRPr="00BD6E99">
              <w:t xml:space="preserve">Juzgado </w:t>
            </w:r>
            <w:r>
              <w:t>01</w:t>
            </w:r>
            <w:r w:rsidRPr="00BD6E99">
              <w:t xml:space="preserve"> Administrativo </w:t>
            </w:r>
            <w:r>
              <w:t xml:space="preserve">de </w:t>
            </w:r>
            <w:r w:rsidRPr="00BD6E99">
              <w:t>Medellín</w:t>
            </w:r>
          </w:p>
        </w:tc>
        <w:tc>
          <w:tcPr>
            <w:tcW w:w="4252" w:type="dxa"/>
          </w:tcPr>
          <w:p w14:paraId="71E256AF" w14:textId="5B223791" w:rsidR="00FF2BA5" w:rsidRPr="00885D27" w:rsidRDefault="00715972" w:rsidP="00411F9E">
            <w:pPr>
              <w:pStyle w:val="Textoindependiente"/>
              <w:spacing w:line="276" w:lineRule="auto"/>
              <w:ind w:right="777"/>
              <w:jc w:val="both"/>
            </w:pPr>
            <w:r w:rsidRPr="00885D27">
              <w:t xml:space="preserve">Yadira </w:t>
            </w:r>
            <w:r w:rsidR="00BD6EC2" w:rsidRPr="00885D27">
              <w:t>d</w:t>
            </w:r>
            <w:r w:rsidRPr="00885D27">
              <w:t xml:space="preserve">el Socorro Salcedo Arroyo          </w:t>
            </w:r>
          </w:p>
        </w:tc>
      </w:tr>
      <w:tr w:rsidR="00FF2BA5" w:rsidRPr="00BD6E99" w14:paraId="3C4E9163" w14:textId="77777777" w:rsidTr="00D85160">
        <w:tc>
          <w:tcPr>
            <w:tcW w:w="4820" w:type="dxa"/>
          </w:tcPr>
          <w:p w14:paraId="75B2A60A" w14:textId="590EF0FC" w:rsidR="00FF2BA5" w:rsidRPr="00BD6E99" w:rsidRDefault="00FF2BA5" w:rsidP="00411F9E">
            <w:pPr>
              <w:pStyle w:val="Textoindependiente"/>
              <w:spacing w:line="276" w:lineRule="auto"/>
              <w:ind w:right="777"/>
              <w:jc w:val="both"/>
            </w:pPr>
            <w:r w:rsidRPr="00BD6E99">
              <w:t xml:space="preserve">Juzgado </w:t>
            </w:r>
            <w:r>
              <w:t>1</w:t>
            </w:r>
            <w:r w:rsidRPr="00BD6E99">
              <w:t xml:space="preserve">8 Administrativo </w:t>
            </w:r>
            <w:r>
              <w:t xml:space="preserve">de </w:t>
            </w:r>
            <w:r w:rsidRPr="00BD6E99">
              <w:t>Medellín</w:t>
            </w:r>
          </w:p>
        </w:tc>
        <w:tc>
          <w:tcPr>
            <w:tcW w:w="4252" w:type="dxa"/>
          </w:tcPr>
          <w:p w14:paraId="6198C1C5" w14:textId="3380FCCE" w:rsidR="00FF2BA5" w:rsidRPr="00885D27" w:rsidRDefault="00715972" w:rsidP="00411F9E">
            <w:pPr>
              <w:pStyle w:val="Textoindependiente"/>
              <w:spacing w:line="276" w:lineRule="auto"/>
              <w:ind w:right="777"/>
              <w:jc w:val="both"/>
            </w:pPr>
            <w:r w:rsidRPr="00885D27">
              <w:t>Alexandra Múnera Torres</w:t>
            </w:r>
          </w:p>
        </w:tc>
      </w:tr>
      <w:tr w:rsidR="00FF2BA5" w:rsidRPr="00BD6E99" w14:paraId="5A16A268" w14:textId="77777777" w:rsidTr="00D85160">
        <w:tc>
          <w:tcPr>
            <w:tcW w:w="4820" w:type="dxa"/>
          </w:tcPr>
          <w:p w14:paraId="2D2C4F3E" w14:textId="06205FD3" w:rsidR="00FF2BA5" w:rsidRPr="00BD6E99" w:rsidRDefault="00885D27" w:rsidP="00411F9E">
            <w:pPr>
              <w:pStyle w:val="Textoindependiente"/>
              <w:spacing w:line="276" w:lineRule="auto"/>
              <w:ind w:right="777"/>
              <w:jc w:val="both"/>
            </w:pPr>
            <w:r>
              <w:t>Juzgado</w:t>
            </w:r>
            <w:r w:rsidR="00FF2BA5" w:rsidRPr="00923003">
              <w:t xml:space="preserve"> </w:t>
            </w:r>
            <w:r w:rsidR="00FF2BA5">
              <w:t>12 Laboral de Medellín</w:t>
            </w:r>
          </w:p>
        </w:tc>
        <w:tc>
          <w:tcPr>
            <w:tcW w:w="4252" w:type="dxa"/>
          </w:tcPr>
          <w:p w14:paraId="17E8D3EB" w14:textId="23A509CD" w:rsidR="00FF2BA5" w:rsidRPr="00885D27" w:rsidRDefault="00715972" w:rsidP="00411F9E">
            <w:pPr>
              <w:pStyle w:val="Textoindependiente"/>
              <w:spacing w:line="276" w:lineRule="auto"/>
              <w:ind w:right="777"/>
              <w:jc w:val="both"/>
            </w:pPr>
            <w:r w:rsidRPr="00885D27">
              <w:t>John Fredy Zabala Parra</w:t>
            </w:r>
          </w:p>
        </w:tc>
      </w:tr>
      <w:tr w:rsidR="00FF2BA5" w:rsidRPr="00BD6E99" w14:paraId="7DC222BA" w14:textId="77777777" w:rsidTr="00D85160">
        <w:tc>
          <w:tcPr>
            <w:tcW w:w="4820" w:type="dxa"/>
          </w:tcPr>
          <w:p w14:paraId="73BEF115" w14:textId="7F8423CF" w:rsidR="00FF2BA5" w:rsidRPr="00BD6E99" w:rsidRDefault="00FF2BA5" w:rsidP="00411F9E">
            <w:pPr>
              <w:pStyle w:val="Textoindependiente"/>
              <w:spacing w:line="276" w:lineRule="auto"/>
              <w:ind w:right="777"/>
              <w:jc w:val="both"/>
            </w:pPr>
            <w:r w:rsidRPr="00BD6E99">
              <w:t xml:space="preserve">Juzgado </w:t>
            </w:r>
            <w:r>
              <w:t>2</w:t>
            </w:r>
            <w:r w:rsidR="00611FD8">
              <w:t>3</w:t>
            </w:r>
            <w:r w:rsidRPr="00BD6E99">
              <w:t xml:space="preserve"> Administrativo </w:t>
            </w:r>
            <w:r w:rsidR="00715972">
              <w:t xml:space="preserve">de </w:t>
            </w:r>
            <w:r w:rsidRPr="00BD6E99">
              <w:t>Medellín</w:t>
            </w:r>
          </w:p>
        </w:tc>
        <w:tc>
          <w:tcPr>
            <w:tcW w:w="4252" w:type="dxa"/>
          </w:tcPr>
          <w:p w14:paraId="7F33B560" w14:textId="78F51638" w:rsidR="00FF2BA5" w:rsidRPr="00885D27" w:rsidRDefault="00715972" w:rsidP="00411F9E">
            <w:pPr>
              <w:pStyle w:val="Textoindependiente"/>
              <w:spacing w:line="276" w:lineRule="auto"/>
              <w:ind w:right="777"/>
              <w:jc w:val="both"/>
            </w:pPr>
            <w:r w:rsidRPr="00885D27">
              <w:t xml:space="preserve">Nubia </w:t>
            </w:r>
            <w:proofErr w:type="spellStart"/>
            <w:r w:rsidRPr="00885D27">
              <w:t>Lezvin</w:t>
            </w:r>
            <w:proofErr w:type="spellEnd"/>
            <w:r w:rsidRPr="00885D27">
              <w:t xml:space="preserve"> Stuart Montoya</w:t>
            </w:r>
          </w:p>
        </w:tc>
      </w:tr>
    </w:tbl>
    <w:p w14:paraId="060AD15A" w14:textId="77777777" w:rsidR="00457A0D" w:rsidRPr="00725E78" w:rsidRDefault="00457A0D" w:rsidP="00725E78">
      <w:pPr>
        <w:shd w:val="clear" w:color="auto" w:fill="FFFFFF"/>
        <w:spacing w:after="0"/>
        <w:jc w:val="both"/>
        <w:rPr>
          <w:rFonts w:ascii="Arial" w:hAnsi="Arial" w:cs="Arial"/>
          <w:bCs/>
          <w:sz w:val="24"/>
          <w:szCs w:val="24"/>
        </w:rPr>
      </w:pPr>
    </w:p>
    <w:p w14:paraId="381ED801" w14:textId="5AF9789F" w:rsidR="00457A0D" w:rsidRDefault="00457A0D" w:rsidP="00725E78">
      <w:pPr>
        <w:pStyle w:val="Prrafodelista"/>
        <w:numPr>
          <w:ilvl w:val="0"/>
          <w:numId w:val="31"/>
        </w:numPr>
        <w:shd w:val="clear" w:color="auto" w:fill="FFFFFF"/>
        <w:spacing w:after="0"/>
        <w:jc w:val="both"/>
        <w:rPr>
          <w:rFonts w:ascii="Arial" w:hAnsi="Arial" w:cs="Arial"/>
          <w:b/>
          <w:sz w:val="24"/>
          <w:szCs w:val="24"/>
        </w:rPr>
      </w:pPr>
      <w:r w:rsidRPr="00C76F09">
        <w:rPr>
          <w:rFonts w:ascii="Arial" w:hAnsi="Arial" w:cs="Arial"/>
          <w:b/>
          <w:sz w:val="24"/>
          <w:szCs w:val="24"/>
        </w:rPr>
        <w:t>Caso Claudia Patricia Agredo. Juzgado 35 Administrativo de Medellín.</w:t>
      </w:r>
    </w:p>
    <w:p w14:paraId="3A1B0DF0" w14:textId="77777777" w:rsidR="00C76F09" w:rsidRPr="00C76F09" w:rsidRDefault="00C76F09" w:rsidP="00C76F09">
      <w:pPr>
        <w:pStyle w:val="Prrafodelista"/>
        <w:shd w:val="clear" w:color="auto" w:fill="FFFFFF"/>
        <w:spacing w:after="0"/>
        <w:jc w:val="both"/>
        <w:rPr>
          <w:rFonts w:ascii="Arial" w:hAnsi="Arial" w:cs="Arial"/>
          <w:b/>
          <w:sz w:val="24"/>
          <w:szCs w:val="24"/>
        </w:rPr>
      </w:pPr>
    </w:p>
    <w:p w14:paraId="2E6C74A6" w14:textId="21632FA5" w:rsidR="0035056E" w:rsidRDefault="0035056E" w:rsidP="0035056E">
      <w:pPr>
        <w:shd w:val="clear" w:color="auto" w:fill="FFFFFF"/>
        <w:spacing w:after="0"/>
        <w:jc w:val="both"/>
        <w:rPr>
          <w:rFonts w:ascii="Arial" w:hAnsi="Arial" w:cs="Arial"/>
          <w:bCs/>
          <w:sz w:val="24"/>
          <w:szCs w:val="24"/>
        </w:rPr>
      </w:pPr>
      <w:r w:rsidRPr="0035056E">
        <w:rPr>
          <w:rFonts w:ascii="Arial" w:hAnsi="Arial" w:cs="Arial"/>
          <w:bCs/>
          <w:sz w:val="24"/>
          <w:szCs w:val="24"/>
        </w:rPr>
        <w:t>En el caso que involucra a Claudia Patricia Agredo y familiares, el Juzgado 35 Administrativo de Medellín examina la demanda presentada por los parientes de Luz Marina Agredo Gómez, quien falleció el 26 de noviembre de 2021 en un accidente con un vehículo del Metroplús. Las víctimas indirectas demandaron al Metro de Medellín, Seguros Generales Suramericana S.A. y al conductor Nelson Alexander Berrío Zapata, solicitando una indemnización por perjuicios materiales e inmateriales estimados en $704.850.000. El Metro llamó en garantía a la Institución Universitaria Pascual Bravo, argumentando que un contrato interadministrativo con cláusula de indemnidad obligaba a la entidad a responder ante una eventual condena.</w:t>
      </w:r>
    </w:p>
    <w:p w14:paraId="3D28D2F6" w14:textId="77777777" w:rsidR="0035056E" w:rsidRDefault="0035056E" w:rsidP="0035056E">
      <w:pPr>
        <w:shd w:val="clear" w:color="auto" w:fill="FFFFFF"/>
        <w:spacing w:after="0"/>
        <w:jc w:val="both"/>
        <w:rPr>
          <w:rFonts w:ascii="Arial" w:hAnsi="Arial" w:cs="Arial"/>
          <w:bCs/>
          <w:sz w:val="24"/>
          <w:szCs w:val="24"/>
        </w:rPr>
      </w:pPr>
    </w:p>
    <w:p w14:paraId="32AD2834" w14:textId="77777777" w:rsidR="0035056E" w:rsidRDefault="0035056E" w:rsidP="0035056E">
      <w:pPr>
        <w:shd w:val="clear" w:color="auto" w:fill="FFFFFF"/>
        <w:spacing w:after="0"/>
        <w:jc w:val="both"/>
        <w:rPr>
          <w:rFonts w:ascii="Arial" w:hAnsi="Arial" w:cs="Arial"/>
          <w:bCs/>
          <w:sz w:val="24"/>
          <w:szCs w:val="24"/>
        </w:rPr>
      </w:pPr>
      <w:r w:rsidRPr="0035056E">
        <w:rPr>
          <w:rFonts w:ascii="Arial" w:hAnsi="Arial" w:cs="Arial"/>
          <w:bCs/>
          <w:sz w:val="24"/>
          <w:szCs w:val="24"/>
        </w:rPr>
        <w:t>En respuesta, la I.U. Pascual Bravo clamó en garantía a la Fundación Pascual Bravo, responsable directa de la contratación del conductor, y también a Seguros Generales Suramericana, con apoyo en las pólizas de responsabilidad civil correspondientes.</w:t>
      </w:r>
    </w:p>
    <w:p w14:paraId="15A65BB9" w14:textId="6231FC69" w:rsidR="0035056E" w:rsidRPr="0035056E" w:rsidRDefault="0035056E" w:rsidP="0035056E">
      <w:pPr>
        <w:shd w:val="clear" w:color="auto" w:fill="FFFFFF"/>
        <w:spacing w:after="0"/>
        <w:jc w:val="both"/>
        <w:rPr>
          <w:rFonts w:ascii="Arial" w:hAnsi="Arial" w:cs="Arial"/>
          <w:bCs/>
          <w:sz w:val="24"/>
          <w:szCs w:val="24"/>
        </w:rPr>
      </w:pPr>
      <w:r w:rsidRPr="0035056E">
        <w:rPr>
          <w:rFonts w:ascii="Arial" w:hAnsi="Arial" w:cs="Arial"/>
          <w:bCs/>
          <w:sz w:val="24"/>
          <w:szCs w:val="24"/>
        </w:rPr>
        <w:t xml:space="preserve"> </w:t>
      </w:r>
    </w:p>
    <w:p w14:paraId="2A197970" w14:textId="77777777" w:rsidR="0035056E" w:rsidRDefault="0035056E" w:rsidP="0035056E">
      <w:pPr>
        <w:shd w:val="clear" w:color="auto" w:fill="FFFFFF"/>
        <w:spacing w:after="0"/>
        <w:jc w:val="both"/>
        <w:rPr>
          <w:rFonts w:ascii="Arial" w:hAnsi="Arial" w:cs="Arial"/>
          <w:bCs/>
          <w:sz w:val="24"/>
          <w:szCs w:val="24"/>
        </w:rPr>
      </w:pPr>
      <w:r w:rsidRPr="0035056E">
        <w:rPr>
          <w:rFonts w:ascii="Arial" w:hAnsi="Arial" w:cs="Arial"/>
          <w:bCs/>
          <w:sz w:val="24"/>
          <w:szCs w:val="24"/>
        </w:rPr>
        <w:t xml:space="preserve">Según la jurisprudencia del Consejo de Estado, el servicio público de transporte implica responsabilidad objetiva frente a daños derivados de actividades peligrosas, lo que exige probar una causa extrínseca (como fuerza mayor o culpa exclusiva de la víctima) para exonerar la responsabilidad. En este caso, los indicios apuntan a culpa exclusiva de la víctima, pues el conductor transitaba en condiciones de </w:t>
      </w:r>
      <w:r w:rsidRPr="0035056E">
        <w:rPr>
          <w:rFonts w:ascii="Arial" w:hAnsi="Arial" w:cs="Arial"/>
          <w:bCs/>
          <w:sz w:val="24"/>
          <w:szCs w:val="24"/>
        </w:rPr>
        <w:lastRenderedPageBreak/>
        <w:t>visibilidad limitada y la señora Agredo circulaba por un lugar no apto para peatones, con dificultades de movilidad. Aunque fue declarada responsable en un proceso contravencional, las circunstancias sugieren que el accidente se debió más a un infortunio propio de la víctima. Asimismo, aunque la Institución está vinculada contractual y organizacionalmente con el contrato interadministrativo, el Metro de Medellín retiene la responsabilidad principal del servicio, tal como ha considerado un fallo no definitivo del Juzgado 30 Administrativo del Circuito de Oralidad de Medellín en un caso similar.</w:t>
      </w:r>
    </w:p>
    <w:p w14:paraId="79B39CA8" w14:textId="77777777" w:rsidR="0035056E" w:rsidRPr="0035056E" w:rsidRDefault="0035056E" w:rsidP="0035056E">
      <w:pPr>
        <w:shd w:val="clear" w:color="auto" w:fill="FFFFFF"/>
        <w:spacing w:after="0"/>
        <w:jc w:val="both"/>
        <w:rPr>
          <w:rFonts w:ascii="Arial" w:hAnsi="Arial" w:cs="Arial"/>
          <w:bCs/>
          <w:sz w:val="24"/>
          <w:szCs w:val="24"/>
        </w:rPr>
      </w:pPr>
    </w:p>
    <w:p w14:paraId="72357935" w14:textId="1BAE7DA2" w:rsidR="00885D27" w:rsidRDefault="0035056E" w:rsidP="0035056E">
      <w:pPr>
        <w:shd w:val="clear" w:color="auto" w:fill="FFFFFF"/>
        <w:spacing w:after="0"/>
        <w:jc w:val="both"/>
        <w:rPr>
          <w:rFonts w:ascii="Arial" w:hAnsi="Arial" w:cs="Arial"/>
          <w:bCs/>
          <w:sz w:val="24"/>
          <w:szCs w:val="24"/>
        </w:rPr>
      </w:pPr>
      <w:r w:rsidRPr="0035056E">
        <w:rPr>
          <w:rFonts w:ascii="Arial" w:hAnsi="Arial" w:cs="Arial"/>
          <w:bCs/>
          <w:sz w:val="24"/>
          <w:szCs w:val="24"/>
        </w:rPr>
        <w:t xml:space="preserve">En consecuencia, se estimó que actualmente no es procedente proponer una fórmula de arreglo entre la I.U. Pascual Bravo y los demandantes, pues no existen variables que apunten inequívocamente a su condena ni fondos claros para una exoneración automática. Natalia Martínez consultó si el expediente es público y si podría utilizarse como prueba en la defensa institucional, y Laura </w:t>
      </w:r>
      <w:r w:rsidR="002F2262" w:rsidRPr="0035056E">
        <w:rPr>
          <w:rFonts w:ascii="Arial" w:hAnsi="Arial" w:cs="Arial"/>
          <w:bCs/>
          <w:sz w:val="24"/>
          <w:szCs w:val="24"/>
        </w:rPr>
        <w:t>Flórez</w:t>
      </w:r>
      <w:r w:rsidRPr="0035056E">
        <w:rPr>
          <w:rFonts w:ascii="Arial" w:hAnsi="Arial" w:cs="Arial"/>
          <w:bCs/>
          <w:sz w:val="24"/>
          <w:szCs w:val="24"/>
        </w:rPr>
        <w:t xml:space="preserve"> señaló que la resolución contravencional es un acto administrativo susceptible de ser impugnado mediante nulidad. Finalmente, los miembros del Comité—Juan Pablo Martínez, Liliana Patricia Restrepo, Sebastián Arroyave Gómez y Yuly Amparo Santos—votaron unánimemente por no conciliar. La decisión refleja un enfoque técnico, prudente y coherente con la política institucional de defensa y prevención jurídica.</w:t>
      </w:r>
    </w:p>
    <w:p w14:paraId="5F232B9C" w14:textId="77777777" w:rsidR="000C20A7" w:rsidRPr="0035056E" w:rsidRDefault="000C20A7" w:rsidP="0035056E">
      <w:pPr>
        <w:shd w:val="clear" w:color="auto" w:fill="FFFFFF"/>
        <w:spacing w:after="0"/>
        <w:jc w:val="both"/>
        <w:rPr>
          <w:rFonts w:ascii="Arial" w:hAnsi="Arial" w:cs="Arial"/>
          <w:bCs/>
          <w:sz w:val="24"/>
          <w:szCs w:val="24"/>
        </w:rPr>
      </w:pPr>
    </w:p>
    <w:p w14:paraId="58617B2A" w14:textId="0FFBD88D" w:rsidR="00885D27" w:rsidRPr="00A63830" w:rsidRDefault="00885D27" w:rsidP="00B548FD">
      <w:pPr>
        <w:pStyle w:val="Prrafodelista"/>
        <w:numPr>
          <w:ilvl w:val="0"/>
          <w:numId w:val="31"/>
        </w:numPr>
        <w:shd w:val="clear" w:color="auto" w:fill="FFFFFF"/>
        <w:spacing w:after="0"/>
        <w:jc w:val="both"/>
        <w:rPr>
          <w:rFonts w:ascii="Arial" w:hAnsi="Arial" w:cs="Arial"/>
          <w:b/>
          <w:sz w:val="24"/>
          <w:szCs w:val="24"/>
        </w:rPr>
      </w:pPr>
      <w:r w:rsidRPr="00A63830">
        <w:rPr>
          <w:rFonts w:ascii="Arial" w:hAnsi="Arial" w:cs="Arial"/>
          <w:b/>
          <w:sz w:val="24"/>
          <w:szCs w:val="24"/>
        </w:rPr>
        <w:t>Caso Yadira del Socorro Salcedo Arroyo. Juzgado 01 Administrativo de Medellín.</w:t>
      </w:r>
    </w:p>
    <w:p w14:paraId="1BB98EFD" w14:textId="77777777" w:rsidR="00A63830" w:rsidRPr="00B548FD" w:rsidRDefault="00A63830" w:rsidP="00A63830">
      <w:pPr>
        <w:pStyle w:val="Prrafodelista"/>
        <w:shd w:val="clear" w:color="auto" w:fill="FFFFFF"/>
        <w:spacing w:after="0"/>
        <w:jc w:val="both"/>
        <w:rPr>
          <w:rFonts w:ascii="Arial" w:hAnsi="Arial" w:cs="Arial"/>
          <w:bCs/>
          <w:sz w:val="24"/>
          <w:szCs w:val="24"/>
        </w:rPr>
      </w:pPr>
    </w:p>
    <w:p w14:paraId="7B056520" w14:textId="77777777" w:rsidR="00002BBB" w:rsidRDefault="00E7555E" w:rsidP="00E7555E">
      <w:pPr>
        <w:shd w:val="clear" w:color="auto" w:fill="FFFFFF"/>
        <w:spacing w:after="0"/>
        <w:jc w:val="both"/>
        <w:rPr>
          <w:rFonts w:ascii="Arial" w:hAnsi="Arial" w:cs="Arial"/>
          <w:bCs/>
          <w:sz w:val="24"/>
          <w:szCs w:val="24"/>
        </w:rPr>
      </w:pPr>
      <w:r w:rsidRPr="00E7555E">
        <w:rPr>
          <w:rFonts w:ascii="Arial" w:hAnsi="Arial" w:cs="Arial"/>
          <w:bCs/>
          <w:sz w:val="24"/>
          <w:szCs w:val="24"/>
        </w:rPr>
        <w:t>En la sesión del Comité de Conciliación</w:t>
      </w:r>
      <w:r w:rsidR="005B3D44">
        <w:rPr>
          <w:rFonts w:ascii="Arial" w:hAnsi="Arial" w:cs="Arial"/>
          <w:bCs/>
          <w:sz w:val="24"/>
          <w:szCs w:val="24"/>
        </w:rPr>
        <w:t xml:space="preserve"> </w:t>
      </w:r>
      <w:r w:rsidRPr="00E7555E">
        <w:rPr>
          <w:rFonts w:ascii="Arial" w:hAnsi="Arial" w:cs="Arial"/>
          <w:bCs/>
          <w:sz w:val="24"/>
          <w:szCs w:val="24"/>
        </w:rPr>
        <w:t xml:space="preserve">se socializaron las solicitudes presentadas por Yadira del Socorro Salcedo Arroyo, quien trabajó mediante contratos de prestación de servicios celebrados por la Institución Universitaria Pascual Bravo en el marco de convenios con el Departamento de Antioquia, Secretaría de Educación, orientados a apoyar la prestación del servicio educativo en municipios no certificados. </w:t>
      </w:r>
    </w:p>
    <w:p w14:paraId="7EEC6CDD" w14:textId="77777777" w:rsidR="00002BBB" w:rsidRDefault="00002BBB" w:rsidP="00E7555E">
      <w:pPr>
        <w:shd w:val="clear" w:color="auto" w:fill="FFFFFF"/>
        <w:spacing w:after="0"/>
        <w:jc w:val="both"/>
        <w:rPr>
          <w:rFonts w:ascii="Arial" w:hAnsi="Arial" w:cs="Arial"/>
          <w:bCs/>
          <w:sz w:val="24"/>
          <w:szCs w:val="24"/>
        </w:rPr>
      </w:pPr>
    </w:p>
    <w:p w14:paraId="1C354DC6" w14:textId="77777777" w:rsidR="00002BBB" w:rsidRDefault="00002BBB" w:rsidP="00E7555E">
      <w:pPr>
        <w:shd w:val="clear" w:color="auto" w:fill="FFFFFF"/>
        <w:spacing w:after="0"/>
        <w:jc w:val="both"/>
        <w:rPr>
          <w:rFonts w:ascii="Arial" w:hAnsi="Arial" w:cs="Arial"/>
          <w:bCs/>
          <w:sz w:val="24"/>
          <w:szCs w:val="24"/>
        </w:rPr>
      </w:pPr>
    </w:p>
    <w:p w14:paraId="3B2FC732" w14:textId="77777777" w:rsidR="00002BBB" w:rsidRDefault="00002BBB" w:rsidP="00E7555E">
      <w:pPr>
        <w:shd w:val="clear" w:color="auto" w:fill="FFFFFF"/>
        <w:spacing w:after="0"/>
        <w:jc w:val="both"/>
        <w:rPr>
          <w:rFonts w:ascii="Arial" w:hAnsi="Arial" w:cs="Arial"/>
          <w:bCs/>
          <w:sz w:val="24"/>
          <w:szCs w:val="24"/>
        </w:rPr>
      </w:pPr>
    </w:p>
    <w:p w14:paraId="23F9AA5E" w14:textId="43F57900" w:rsidR="005B3D44" w:rsidRDefault="00E7555E" w:rsidP="00E7555E">
      <w:pPr>
        <w:shd w:val="clear" w:color="auto" w:fill="FFFFFF"/>
        <w:spacing w:after="0"/>
        <w:jc w:val="both"/>
        <w:rPr>
          <w:rFonts w:ascii="Arial" w:hAnsi="Arial" w:cs="Arial"/>
          <w:bCs/>
          <w:sz w:val="24"/>
          <w:szCs w:val="24"/>
        </w:rPr>
      </w:pPr>
      <w:r w:rsidRPr="00E7555E">
        <w:rPr>
          <w:rFonts w:ascii="Arial" w:hAnsi="Arial" w:cs="Arial"/>
          <w:bCs/>
          <w:sz w:val="24"/>
          <w:szCs w:val="24"/>
        </w:rPr>
        <w:lastRenderedPageBreak/>
        <w:t xml:space="preserve">La demandante reclama que se reconozca una relación laboral y se le paguen prestaciones sociales e indemnización, por un valor de $81.035.115 COP, alegando nulidad del contrato administrativo y restablecimiento del derecho. No procederá llamamiento en garantía a terceros, puesto que las pólizas de cumplimiento aportadas en dichos contratos corresponden directamente a la I.U. Pascual Bravo como tomadora, y sólo el Departamento de Antioquia podría eventualmente ejercer esa acción. </w:t>
      </w:r>
    </w:p>
    <w:p w14:paraId="5788B06A" w14:textId="77777777" w:rsidR="005B3D44" w:rsidRDefault="005B3D44" w:rsidP="00E7555E">
      <w:pPr>
        <w:shd w:val="clear" w:color="auto" w:fill="FFFFFF"/>
        <w:spacing w:after="0"/>
        <w:jc w:val="both"/>
        <w:rPr>
          <w:rFonts w:ascii="Arial" w:hAnsi="Arial" w:cs="Arial"/>
          <w:bCs/>
          <w:sz w:val="24"/>
          <w:szCs w:val="24"/>
        </w:rPr>
      </w:pPr>
    </w:p>
    <w:p w14:paraId="2D21DF17" w14:textId="1281B2CF" w:rsidR="005B3D44" w:rsidRDefault="00E7555E" w:rsidP="00E7555E">
      <w:pPr>
        <w:shd w:val="clear" w:color="auto" w:fill="FFFFFF"/>
        <w:spacing w:after="0"/>
        <w:jc w:val="both"/>
        <w:rPr>
          <w:rFonts w:ascii="Arial" w:hAnsi="Arial" w:cs="Arial"/>
          <w:bCs/>
          <w:sz w:val="24"/>
          <w:szCs w:val="24"/>
        </w:rPr>
      </w:pPr>
      <w:r w:rsidRPr="00E7555E">
        <w:rPr>
          <w:rFonts w:ascii="Arial" w:hAnsi="Arial" w:cs="Arial"/>
          <w:bCs/>
          <w:sz w:val="24"/>
          <w:szCs w:val="24"/>
        </w:rPr>
        <w:t xml:space="preserve">La probabilidad de condena a la Institución se sitúa en nivel 2 (media), dado </w:t>
      </w:r>
      <w:r w:rsidR="005B3D44" w:rsidRPr="00E7555E">
        <w:rPr>
          <w:rFonts w:ascii="Arial" w:hAnsi="Arial" w:cs="Arial"/>
          <w:bCs/>
          <w:sz w:val="24"/>
          <w:szCs w:val="24"/>
        </w:rPr>
        <w:t>que,</w:t>
      </w:r>
      <w:r w:rsidRPr="00E7555E">
        <w:rPr>
          <w:rFonts w:ascii="Arial" w:hAnsi="Arial" w:cs="Arial"/>
          <w:bCs/>
          <w:sz w:val="24"/>
          <w:szCs w:val="24"/>
        </w:rPr>
        <w:t xml:space="preserve"> aunque la normativa de contratación estatal (como el numeral 3 del artículo 32 de la Ley 80 de 1993) impide que se origine una relación laboral, la jurisprudencia ha avanzado hacia el reconocimiento del contrato realidad en algunos casos, lo que introduce incertidumbre. </w:t>
      </w:r>
    </w:p>
    <w:p w14:paraId="2CF9090C" w14:textId="77777777" w:rsidR="005B3D44" w:rsidRDefault="005B3D44" w:rsidP="00E7555E">
      <w:pPr>
        <w:shd w:val="clear" w:color="auto" w:fill="FFFFFF"/>
        <w:spacing w:after="0"/>
        <w:jc w:val="both"/>
        <w:rPr>
          <w:rFonts w:ascii="Arial" w:hAnsi="Arial" w:cs="Arial"/>
          <w:bCs/>
          <w:sz w:val="24"/>
          <w:szCs w:val="24"/>
        </w:rPr>
      </w:pPr>
    </w:p>
    <w:p w14:paraId="2811B936" w14:textId="77777777" w:rsidR="005A7A86" w:rsidRDefault="00E7555E" w:rsidP="00E7555E">
      <w:pPr>
        <w:shd w:val="clear" w:color="auto" w:fill="FFFFFF"/>
        <w:spacing w:after="0"/>
        <w:jc w:val="both"/>
        <w:rPr>
          <w:rFonts w:ascii="Arial" w:hAnsi="Arial" w:cs="Arial"/>
          <w:bCs/>
          <w:sz w:val="24"/>
          <w:szCs w:val="24"/>
        </w:rPr>
      </w:pPr>
      <w:r w:rsidRPr="00E7555E">
        <w:rPr>
          <w:rFonts w:ascii="Arial" w:hAnsi="Arial" w:cs="Arial"/>
          <w:bCs/>
          <w:sz w:val="24"/>
          <w:szCs w:val="24"/>
        </w:rPr>
        <w:t xml:space="preserve">El debate probatorio será determinante, en especial para establecer la subordinación continua, la prestación personal del servicio y la percepción de remuneración; aspectos que, según la información revisada, no parecen configurarse claramente. Asimismo, la jurisdicción elegida influirá significativamente: en sede laboral la interpretación favorable a la trabajadora podría prosperar, mientras que en la jurisdicción contencioso administrativa se prioriza la protección de lo público. </w:t>
      </w:r>
    </w:p>
    <w:p w14:paraId="1B1700B2" w14:textId="77777777" w:rsidR="005A7A86" w:rsidRDefault="005A7A86" w:rsidP="00E7555E">
      <w:pPr>
        <w:shd w:val="clear" w:color="auto" w:fill="FFFFFF"/>
        <w:spacing w:after="0"/>
        <w:jc w:val="both"/>
        <w:rPr>
          <w:rFonts w:ascii="Arial" w:hAnsi="Arial" w:cs="Arial"/>
          <w:bCs/>
          <w:sz w:val="24"/>
          <w:szCs w:val="24"/>
        </w:rPr>
      </w:pPr>
    </w:p>
    <w:p w14:paraId="742E529A" w14:textId="4AFB05B6" w:rsidR="00E7555E" w:rsidRPr="00E7555E" w:rsidRDefault="00E7555E" w:rsidP="00E7555E">
      <w:pPr>
        <w:shd w:val="clear" w:color="auto" w:fill="FFFFFF"/>
        <w:spacing w:after="0"/>
        <w:jc w:val="both"/>
        <w:rPr>
          <w:rFonts w:ascii="Arial" w:hAnsi="Arial" w:cs="Arial"/>
          <w:bCs/>
          <w:sz w:val="24"/>
          <w:szCs w:val="24"/>
        </w:rPr>
      </w:pPr>
      <w:r w:rsidRPr="00E7555E">
        <w:rPr>
          <w:rFonts w:ascii="Arial" w:hAnsi="Arial" w:cs="Arial"/>
          <w:bCs/>
          <w:sz w:val="24"/>
          <w:szCs w:val="24"/>
        </w:rPr>
        <w:t>En este contexto, se recomendó no proponer fórmula de arreglo ni conciliación, postura respaldada por la votación unánime de los miembros del Comité—Juan Pablo Martínez, Liliana Patricia Restrepo y Jeannette Rocío Gilede González— quienes votaron no conciliar. Esta estrategia refleja un enfoque técnico, prudente, y en consonancia con las políticas institucionales de defensa legal y prevención del riesgo contractual.</w:t>
      </w:r>
    </w:p>
    <w:p w14:paraId="54E1245C" w14:textId="77777777" w:rsidR="00E7555E" w:rsidRPr="00E7555E" w:rsidRDefault="00E7555E" w:rsidP="00E7555E">
      <w:pPr>
        <w:shd w:val="clear" w:color="auto" w:fill="FFFFFF"/>
        <w:spacing w:after="0"/>
        <w:jc w:val="both"/>
        <w:rPr>
          <w:rFonts w:ascii="Arial" w:hAnsi="Arial" w:cs="Arial"/>
          <w:bCs/>
          <w:sz w:val="24"/>
          <w:szCs w:val="24"/>
        </w:rPr>
      </w:pPr>
    </w:p>
    <w:p w14:paraId="0E958284" w14:textId="31D69096" w:rsidR="00457A0D" w:rsidRPr="00580F52" w:rsidRDefault="00885D27" w:rsidP="00A63830">
      <w:pPr>
        <w:pStyle w:val="Prrafodelista"/>
        <w:numPr>
          <w:ilvl w:val="0"/>
          <w:numId w:val="31"/>
        </w:numPr>
        <w:shd w:val="clear" w:color="auto" w:fill="FFFFFF"/>
        <w:spacing w:after="0"/>
        <w:jc w:val="both"/>
        <w:rPr>
          <w:rFonts w:ascii="Arial" w:hAnsi="Arial" w:cs="Arial"/>
          <w:b/>
          <w:sz w:val="24"/>
          <w:szCs w:val="24"/>
        </w:rPr>
      </w:pPr>
      <w:r w:rsidRPr="00580F52">
        <w:rPr>
          <w:rFonts w:ascii="Arial" w:hAnsi="Arial" w:cs="Arial"/>
          <w:b/>
          <w:sz w:val="24"/>
          <w:szCs w:val="24"/>
        </w:rPr>
        <w:t>Caso</w:t>
      </w:r>
      <w:r w:rsidR="006A6899">
        <w:rPr>
          <w:rFonts w:ascii="Arial" w:hAnsi="Arial" w:cs="Arial"/>
          <w:b/>
          <w:sz w:val="24"/>
          <w:szCs w:val="24"/>
        </w:rPr>
        <w:t xml:space="preserve"> </w:t>
      </w:r>
      <w:r w:rsidRPr="00580F52">
        <w:rPr>
          <w:rFonts w:ascii="Arial" w:hAnsi="Arial" w:cs="Arial"/>
          <w:b/>
          <w:sz w:val="24"/>
          <w:szCs w:val="24"/>
        </w:rPr>
        <w:t>Alexandra Múnera Torres. Juzgado 18 Administrativo de Medellín.</w:t>
      </w:r>
    </w:p>
    <w:p w14:paraId="408D1F41" w14:textId="77777777" w:rsidR="00BC71DD" w:rsidRPr="00580F52" w:rsidRDefault="00BC71DD" w:rsidP="00580F52">
      <w:pPr>
        <w:shd w:val="clear" w:color="auto" w:fill="FFFFFF"/>
        <w:spacing w:after="0"/>
        <w:jc w:val="both"/>
        <w:rPr>
          <w:rFonts w:ascii="Arial" w:hAnsi="Arial" w:cs="Arial"/>
          <w:bCs/>
          <w:sz w:val="24"/>
          <w:szCs w:val="24"/>
        </w:rPr>
      </w:pPr>
    </w:p>
    <w:p w14:paraId="2102D737" w14:textId="77777777" w:rsidR="00BC71DD" w:rsidRPr="00580F52" w:rsidRDefault="00BC71DD" w:rsidP="00580F52">
      <w:pPr>
        <w:shd w:val="clear" w:color="auto" w:fill="FFFFFF"/>
        <w:spacing w:after="0"/>
        <w:jc w:val="both"/>
        <w:rPr>
          <w:rFonts w:ascii="Arial" w:hAnsi="Arial" w:cs="Arial"/>
          <w:bCs/>
          <w:sz w:val="24"/>
          <w:szCs w:val="24"/>
        </w:rPr>
      </w:pPr>
      <w:r w:rsidRPr="00580F52">
        <w:rPr>
          <w:rFonts w:ascii="Arial" w:hAnsi="Arial" w:cs="Arial"/>
          <w:bCs/>
          <w:sz w:val="24"/>
          <w:szCs w:val="24"/>
        </w:rPr>
        <w:t xml:space="preserve">En sesión convocada por correo electrónico a las 10:01 a.m. mediante Google Calendar, la Secretaría Técnica del Comité de Conciliación expuso la solicitud de </w:t>
      </w:r>
      <w:r w:rsidRPr="00580F52">
        <w:rPr>
          <w:rFonts w:ascii="Arial" w:hAnsi="Arial" w:cs="Arial"/>
          <w:bCs/>
          <w:sz w:val="24"/>
          <w:szCs w:val="24"/>
        </w:rPr>
        <w:lastRenderedPageBreak/>
        <w:t>conciliación presentada por Alexandra Múnera Torres, quien prestó servicios mediante contratos interadministrativos celebrados por la I.U. Pascual Bravo con el Distrito Especial de Ciencia, Tecnología e Innovación de Medellín (antes Secretaría de Educación), estos vinculados a apoyo a la gestión educativa. Aunque dichos contratos han sido liquidados, la demandante busca que se reconozca una relación laboral con el Distrito, para exigencias de prestaciones sociales adeudadas, y pretende que la administración realice el pago a través de un medio de control de nulidad y restablecimiento del derecho.</w:t>
      </w:r>
    </w:p>
    <w:p w14:paraId="05072E8D" w14:textId="77777777" w:rsidR="00BC71DD" w:rsidRPr="00580F52" w:rsidRDefault="00BC71DD" w:rsidP="00580F52">
      <w:pPr>
        <w:shd w:val="clear" w:color="auto" w:fill="FFFFFF"/>
        <w:spacing w:after="0"/>
        <w:jc w:val="both"/>
        <w:rPr>
          <w:rFonts w:ascii="Arial" w:hAnsi="Arial" w:cs="Arial"/>
          <w:bCs/>
          <w:sz w:val="24"/>
          <w:szCs w:val="24"/>
        </w:rPr>
      </w:pPr>
    </w:p>
    <w:p w14:paraId="7F919B54" w14:textId="77777777" w:rsidR="00BC71DD" w:rsidRPr="00580F52" w:rsidRDefault="00BC71DD" w:rsidP="00580F52">
      <w:pPr>
        <w:shd w:val="clear" w:color="auto" w:fill="FFFFFF"/>
        <w:spacing w:after="0"/>
        <w:jc w:val="both"/>
        <w:rPr>
          <w:rFonts w:ascii="Arial" w:hAnsi="Arial" w:cs="Arial"/>
          <w:bCs/>
          <w:sz w:val="24"/>
          <w:szCs w:val="24"/>
        </w:rPr>
      </w:pPr>
      <w:r w:rsidRPr="00580F52">
        <w:rPr>
          <w:rFonts w:ascii="Arial" w:hAnsi="Arial" w:cs="Arial"/>
          <w:bCs/>
          <w:sz w:val="24"/>
          <w:szCs w:val="24"/>
        </w:rPr>
        <w:t>No se consideró procedente ningún llamamiento en garantía: en primer lugar, porque las pólizas de cumplimiento contratadas con ocasión de dichos convenios fueron emitidas a nombre de la institución (I.U. Pascual Bravo) y solo el beneficiario (el Distrito) podría ejercer garantía; en segundo lugar, porque no se señaló ningún servidor público específico vinculado a la Universidad cuya conducta pudiera generar responsabilidades.</w:t>
      </w:r>
    </w:p>
    <w:p w14:paraId="1000E9FE" w14:textId="77777777" w:rsidR="00BC71DD" w:rsidRPr="00580F52" w:rsidRDefault="00BC71DD" w:rsidP="00580F52">
      <w:pPr>
        <w:shd w:val="clear" w:color="auto" w:fill="FFFFFF"/>
        <w:spacing w:after="0"/>
        <w:jc w:val="both"/>
        <w:rPr>
          <w:rFonts w:ascii="Arial" w:hAnsi="Arial" w:cs="Arial"/>
          <w:bCs/>
          <w:sz w:val="24"/>
          <w:szCs w:val="24"/>
        </w:rPr>
      </w:pPr>
    </w:p>
    <w:p w14:paraId="73AEC3EB" w14:textId="543CD4CF" w:rsidR="00BC71DD" w:rsidRPr="00580F52" w:rsidRDefault="00BC71DD" w:rsidP="00580F52">
      <w:pPr>
        <w:shd w:val="clear" w:color="auto" w:fill="FFFFFF"/>
        <w:spacing w:after="0"/>
        <w:jc w:val="both"/>
        <w:rPr>
          <w:rFonts w:ascii="Arial" w:hAnsi="Arial" w:cs="Arial"/>
          <w:bCs/>
          <w:sz w:val="24"/>
          <w:szCs w:val="24"/>
        </w:rPr>
      </w:pPr>
      <w:r w:rsidRPr="00580F52">
        <w:rPr>
          <w:rFonts w:ascii="Arial" w:hAnsi="Arial" w:cs="Arial"/>
          <w:bCs/>
          <w:sz w:val="24"/>
          <w:szCs w:val="24"/>
        </w:rPr>
        <w:t>La probabilidad de condena para la I.U. Pascual Bravo se calificó como nivel 2 (media), dado que una interpretación literal del artículo 32, numeral 3 de la Ley 80 de 1993 indica que los contratos de prestación de servicios no pueden configurar una relación laboral, prohibiendo el reconocimiento de prestaciones. No obstante, la jurisprudencia reciente favorece una lectura diferente basada en la tesis del “contrato realidad”, que considera la primacía de la realidad sobre la forma —exigiendo verificar la existencia de subordinación continua, prestación personal del servicio y remuneración— como elementos para determinar una posible relación laboral</w:t>
      </w:r>
      <w:r w:rsidR="006A6899">
        <w:rPr>
          <w:rFonts w:ascii="Arial" w:hAnsi="Arial" w:cs="Arial"/>
          <w:bCs/>
          <w:sz w:val="24"/>
          <w:szCs w:val="24"/>
        </w:rPr>
        <w:t xml:space="preserve">. </w:t>
      </w:r>
      <w:r w:rsidRPr="00580F52">
        <w:rPr>
          <w:rFonts w:ascii="Arial" w:hAnsi="Arial" w:cs="Arial"/>
          <w:bCs/>
          <w:sz w:val="24"/>
          <w:szCs w:val="24"/>
        </w:rPr>
        <w:t>En este caso, no se hallan indicios claros de subordinación (como órdenes, horarios o supervisión por parte de la Universidad), lo cual reduce la viabilidad de las pretensiones de la demandante.</w:t>
      </w:r>
    </w:p>
    <w:p w14:paraId="129EFA6C" w14:textId="77777777" w:rsidR="00BC71DD" w:rsidRPr="00580F52" w:rsidRDefault="00BC71DD" w:rsidP="00580F52">
      <w:pPr>
        <w:shd w:val="clear" w:color="auto" w:fill="FFFFFF"/>
        <w:spacing w:after="0"/>
        <w:jc w:val="both"/>
        <w:rPr>
          <w:rFonts w:ascii="Arial" w:hAnsi="Arial" w:cs="Arial"/>
          <w:bCs/>
          <w:sz w:val="24"/>
          <w:szCs w:val="24"/>
        </w:rPr>
      </w:pPr>
    </w:p>
    <w:p w14:paraId="7CBD91F0" w14:textId="606D5F92" w:rsidR="00BC71DD" w:rsidRDefault="00BC71DD" w:rsidP="00580F52">
      <w:pPr>
        <w:shd w:val="clear" w:color="auto" w:fill="FFFFFF"/>
        <w:spacing w:after="0"/>
        <w:jc w:val="both"/>
        <w:rPr>
          <w:rFonts w:ascii="Arial" w:hAnsi="Arial" w:cs="Arial"/>
          <w:bCs/>
          <w:sz w:val="24"/>
          <w:szCs w:val="24"/>
        </w:rPr>
      </w:pPr>
      <w:r w:rsidRPr="00580F52">
        <w:rPr>
          <w:rFonts w:ascii="Arial" w:hAnsi="Arial" w:cs="Arial"/>
          <w:bCs/>
          <w:sz w:val="24"/>
          <w:szCs w:val="24"/>
        </w:rPr>
        <w:t xml:space="preserve">Dado este panorama, el Comité concluyó que no procede proponer fórmula conciliatoria en este caso, ya que no se visualizó un riesgo inminente de condena ni antes ni durante el debate probatorio. La votación fue unánime: </w:t>
      </w:r>
      <w:r w:rsidR="00737DD0">
        <w:rPr>
          <w:rFonts w:ascii="Arial" w:hAnsi="Arial" w:cs="Arial"/>
          <w:bCs/>
          <w:sz w:val="24"/>
          <w:szCs w:val="24"/>
        </w:rPr>
        <w:t xml:space="preserve">todos los integrantes </w:t>
      </w:r>
      <w:r w:rsidRPr="00580F52">
        <w:rPr>
          <w:rFonts w:ascii="Arial" w:hAnsi="Arial" w:cs="Arial"/>
          <w:bCs/>
          <w:sz w:val="24"/>
          <w:szCs w:val="24"/>
        </w:rPr>
        <w:t>decidieron no conciliar, respaldando una postura técnica y cautelosa, alineada con la protección del interés institucional y la normativa aplicable.</w:t>
      </w:r>
    </w:p>
    <w:p w14:paraId="45F08954" w14:textId="77777777" w:rsidR="00114F85" w:rsidRPr="00580F52" w:rsidRDefault="00114F85" w:rsidP="00580F52">
      <w:pPr>
        <w:shd w:val="clear" w:color="auto" w:fill="FFFFFF"/>
        <w:spacing w:after="0"/>
        <w:jc w:val="both"/>
        <w:rPr>
          <w:rFonts w:ascii="Arial" w:hAnsi="Arial" w:cs="Arial"/>
          <w:bCs/>
          <w:sz w:val="24"/>
          <w:szCs w:val="24"/>
        </w:rPr>
      </w:pPr>
    </w:p>
    <w:p w14:paraId="091B4FFE" w14:textId="2BAAB333" w:rsidR="004912A5" w:rsidRDefault="00885D27" w:rsidP="00A63830">
      <w:pPr>
        <w:pStyle w:val="Prrafodelista"/>
        <w:numPr>
          <w:ilvl w:val="0"/>
          <w:numId w:val="31"/>
        </w:numPr>
        <w:jc w:val="both"/>
        <w:rPr>
          <w:rFonts w:ascii="Arial" w:hAnsi="Arial" w:cs="Arial"/>
          <w:b/>
          <w:sz w:val="24"/>
          <w:szCs w:val="24"/>
        </w:rPr>
      </w:pPr>
      <w:r>
        <w:rPr>
          <w:rFonts w:ascii="Arial" w:hAnsi="Arial" w:cs="Arial"/>
          <w:b/>
          <w:sz w:val="24"/>
          <w:szCs w:val="24"/>
        </w:rPr>
        <w:t xml:space="preserve">Caso </w:t>
      </w:r>
      <w:r w:rsidRPr="00885D27">
        <w:rPr>
          <w:rFonts w:ascii="Arial" w:hAnsi="Arial" w:cs="Arial"/>
          <w:b/>
          <w:sz w:val="24"/>
          <w:szCs w:val="24"/>
        </w:rPr>
        <w:t>John Fredy Zabala Parra</w:t>
      </w:r>
      <w:r>
        <w:rPr>
          <w:rFonts w:ascii="Arial" w:hAnsi="Arial" w:cs="Arial"/>
          <w:b/>
          <w:sz w:val="24"/>
          <w:szCs w:val="24"/>
        </w:rPr>
        <w:t xml:space="preserve">. </w:t>
      </w:r>
      <w:r w:rsidRPr="00885D27">
        <w:rPr>
          <w:rFonts w:ascii="Arial" w:hAnsi="Arial" w:cs="Arial"/>
          <w:b/>
          <w:sz w:val="24"/>
          <w:szCs w:val="24"/>
        </w:rPr>
        <w:t>Juzgado 12 Laboral de Medellín</w:t>
      </w:r>
      <w:r>
        <w:rPr>
          <w:rFonts w:ascii="Arial" w:hAnsi="Arial" w:cs="Arial"/>
          <w:b/>
          <w:sz w:val="24"/>
          <w:szCs w:val="24"/>
        </w:rPr>
        <w:t>.</w:t>
      </w:r>
    </w:p>
    <w:p w14:paraId="4484C9C2" w14:textId="77777777" w:rsidR="004912A5" w:rsidRDefault="004912A5" w:rsidP="004912A5">
      <w:pPr>
        <w:shd w:val="clear" w:color="auto" w:fill="FFFFFF"/>
        <w:spacing w:after="0"/>
        <w:jc w:val="both"/>
        <w:rPr>
          <w:rFonts w:ascii="Arial" w:hAnsi="Arial" w:cs="Arial"/>
          <w:bCs/>
          <w:sz w:val="24"/>
          <w:szCs w:val="24"/>
        </w:rPr>
      </w:pPr>
      <w:r w:rsidRPr="004912A5">
        <w:rPr>
          <w:rFonts w:ascii="Arial" w:hAnsi="Arial" w:cs="Arial"/>
          <w:bCs/>
          <w:sz w:val="24"/>
          <w:szCs w:val="24"/>
        </w:rPr>
        <w:t>En la sesión convocada por correo electrónico a las 4:39 p.m. mediante Google Calendar, la Secretaría Técnica del Comité de Conciliación socializó la solicitud de conciliación presentada por John Fredy Zabala Parra, contratado por la Fundación Pascual Bravo para cumplir labores relacionadas con la formación y operación de buses del Metro de Medellín, en desarrollo de un contrato interadministrativo (No. 2015</w:t>
      </w:r>
      <w:r w:rsidRPr="004912A5">
        <w:rPr>
          <w:rFonts w:ascii="Cambria Math" w:hAnsi="Cambria Math" w:cs="Cambria Math"/>
          <w:bCs/>
          <w:sz w:val="24"/>
          <w:szCs w:val="24"/>
        </w:rPr>
        <w:t>‑</w:t>
      </w:r>
      <w:r w:rsidRPr="004912A5">
        <w:rPr>
          <w:rFonts w:ascii="Arial" w:hAnsi="Arial" w:cs="Arial"/>
          <w:bCs/>
          <w:sz w:val="24"/>
          <w:szCs w:val="24"/>
        </w:rPr>
        <w:t>0392) suscrito por la I.U. Pascual Bravo. El demandante solicita declarar ineficaz un proceso disciplinario en su contra y obtener reconocimiento de salarios, prestaciones sociales y otros derechos omitidos durante los 30 días de suspensión, argumentando violación de sus garantías laborales. La I.U. Pascual Bravo fue vinculada como litis consorte necesario en calidad pasiva.</w:t>
      </w:r>
    </w:p>
    <w:p w14:paraId="105FC9EF" w14:textId="77777777" w:rsidR="004912A5" w:rsidRPr="004912A5" w:rsidRDefault="004912A5" w:rsidP="004912A5">
      <w:pPr>
        <w:shd w:val="clear" w:color="auto" w:fill="FFFFFF"/>
        <w:spacing w:after="0"/>
        <w:jc w:val="both"/>
        <w:rPr>
          <w:rFonts w:ascii="Arial" w:hAnsi="Arial" w:cs="Arial"/>
          <w:bCs/>
          <w:sz w:val="24"/>
          <w:szCs w:val="24"/>
        </w:rPr>
      </w:pPr>
    </w:p>
    <w:p w14:paraId="7C2B174E" w14:textId="77777777" w:rsidR="004912A5" w:rsidRPr="004912A5" w:rsidRDefault="004912A5" w:rsidP="004912A5">
      <w:pPr>
        <w:shd w:val="clear" w:color="auto" w:fill="FFFFFF"/>
        <w:spacing w:after="0"/>
        <w:jc w:val="both"/>
        <w:rPr>
          <w:rFonts w:ascii="Arial" w:hAnsi="Arial" w:cs="Arial"/>
          <w:bCs/>
          <w:sz w:val="24"/>
          <w:szCs w:val="24"/>
        </w:rPr>
      </w:pPr>
      <w:r w:rsidRPr="004912A5">
        <w:rPr>
          <w:rFonts w:ascii="Arial" w:hAnsi="Arial" w:cs="Arial"/>
          <w:bCs/>
          <w:sz w:val="24"/>
          <w:szCs w:val="24"/>
        </w:rPr>
        <w:t>La calificación de probabilidad de condena en nivel 2 (media) se basó en los siguientes fundamentos: (i) la Fundación –como empleadora directa– fue la encargada de imponer la sanción disciplinaria con autonomía probada, y este procedimiento se desarrolló con garantías de defensa, lo cual deberá examinarse en fase probatoria; (</w:t>
      </w:r>
      <w:proofErr w:type="spellStart"/>
      <w:r w:rsidRPr="004912A5">
        <w:rPr>
          <w:rFonts w:ascii="Arial" w:hAnsi="Arial" w:cs="Arial"/>
          <w:bCs/>
          <w:sz w:val="24"/>
          <w:szCs w:val="24"/>
        </w:rPr>
        <w:t>ii</w:t>
      </w:r>
      <w:proofErr w:type="spellEnd"/>
      <w:r w:rsidRPr="004912A5">
        <w:rPr>
          <w:rFonts w:ascii="Arial" w:hAnsi="Arial" w:cs="Arial"/>
          <w:bCs/>
          <w:sz w:val="24"/>
          <w:szCs w:val="24"/>
        </w:rPr>
        <w:t>) aunque la relación laboral existió directamente con la Fundación, el beneficiario del servicio fue el Metro de Medellín, por lo que la posible responsabilidad solidaria recaería sobre este último según los artículos 34 y 35 del Código Sustantivo del Trabajo; y (</w:t>
      </w:r>
      <w:proofErr w:type="spellStart"/>
      <w:r w:rsidRPr="004912A5">
        <w:rPr>
          <w:rFonts w:ascii="Arial" w:hAnsi="Arial" w:cs="Arial"/>
          <w:bCs/>
          <w:sz w:val="24"/>
          <w:szCs w:val="24"/>
        </w:rPr>
        <w:t>iii</w:t>
      </w:r>
      <w:proofErr w:type="spellEnd"/>
      <w:r w:rsidRPr="004912A5">
        <w:rPr>
          <w:rFonts w:ascii="Arial" w:hAnsi="Arial" w:cs="Arial"/>
          <w:bCs/>
          <w:sz w:val="24"/>
          <w:szCs w:val="24"/>
        </w:rPr>
        <w:t>) las pólizas de cumplimiento y la cláusula de indemnidad respaldan un llamamiento en garantía a la Fundación y a Seguros Generales Suramericana, aunque no se observó necesidad de prever un arreglo económico preventivo mientras exista incertidumbre probatoria sobre el debido proceso disciplinario.</w:t>
      </w:r>
    </w:p>
    <w:p w14:paraId="1C29FC68" w14:textId="77777777" w:rsidR="004912A5" w:rsidRPr="004912A5" w:rsidRDefault="004912A5" w:rsidP="004912A5">
      <w:pPr>
        <w:shd w:val="clear" w:color="auto" w:fill="FFFFFF"/>
        <w:spacing w:after="0"/>
        <w:jc w:val="both"/>
        <w:rPr>
          <w:rFonts w:ascii="Arial" w:hAnsi="Arial" w:cs="Arial"/>
          <w:bCs/>
          <w:sz w:val="24"/>
          <w:szCs w:val="24"/>
        </w:rPr>
      </w:pPr>
    </w:p>
    <w:p w14:paraId="53B40F44" w14:textId="11C4D902" w:rsidR="004912A5" w:rsidRDefault="004912A5" w:rsidP="004912A5">
      <w:pPr>
        <w:shd w:val="clear" w:color="auto" w:fill="FFFFFF"/>
        <w:spacing w:after="0"/>
        <w:jc w:val="both"/>
        <w:rPr>
          <w:rFonts w:ascii="Arial" w:hAnsi="Arial" w:cs="Arial"/>
          <w:bCs/>
          <w:sz w:val="24"/>
          <w:szCs w:val="24"/>
        </w:rPr>
      </w:pPr>
      <w:r w:rsidRPr="004912A5">
        <w:rPr>
          <w:rFonts w:ascii="Arial" w:hAnsi="Arial" w:cs="Arial"/>
          <w:bCs/>
          <w:sz w:val="24"/>
          <w:szCs w:val="24"/>
        </w:rPr>
        <w:t>En consecuencia, el Comité recomendó no proponer conciliación en esta etapa, postura respaldada por la votación unánime de Juan Pablo Martínez, Sebastián Arroyave, Liliana Patricia Restrepo y Jeannette Rocío Gilede González, evidenciando un criterio técnico y prudente, alineado a las políticas internas de defensa jurídica y gestión del riesgo institucional.</w:t>
      </w:r>
    </w:p>
    <w:p w14:paraId="6D77B291" w14:textId="77777777" w:rsidR="00114F85" w:rsidRPr="004912A5" w:rsidRDefault="00114F85" w:rsidP="004912A5">
      <w:pPr>
        <w:shd w:val="clear" w:color="auto" w:fill="FFFFFF"/>
        <w:spacing w:after="0"/>
        <w:jc w:val="both"/>
        <w:rPr>
          <w:rFonts w:ascii="Arial" w:hAnsi="Arial" w:cs="Arial"/>
          <w:bCs/>
          <w:sz w:val="24"/>
          <w:szCs w:val="24"/>
        </w:rPr>
      </w:pPr>
    </w:p>
    <w:p w14:paraId="27C2BF14" w14:textId="70E172B3" w:rsidR="00885D27" w:rsidRDefault="00885D27" w:rsidP="00A63830">
      <w:pPr>
        <w:pStyle w:val="Prrafodelista"/>
        <w:numPr>
          <w:ilvl w:val="0"/>
          <w:numId w:val="31"/>
        </w:numPr>
        <w:jc w:val="both"/>
        <w:rPr>
          <w:rFonts w:ascii="Arial" w:hAnsi="Arial" w:cs="Arial"/>
          <w:b/>
          <w:sz w:val="24"/>
          <w:szCs w:val="24"/>
        </w:rPr>
      </w:pPr>
      <w:r>
        <w:rPr>
          <w:rFonts w:ascii="Arial" w:hAnsi="Arial" w:cs="Arial"/>
          <w:b/>
          <w:sz w:val="24"/>
          <w:szCs w:val="24"/>
        </w:rPr>
        <w:lastRenderedPageBreak/>
        <w:t xml:space="preserve">Caso </w:t>
      </w:r>
      <w:r w:rsidRPr="00885D27">
        <w:rPr>
          <w:rFonts w:ascii="Arial" w:hAnsi="Arial" w:cs="Arial"/>
          <w:b/>
          <w:sz w:val="24"/>
          <w:szCs w:val="24"/>
        </w:rPr>
        <w:t>Nubia Lezvin Stuart Montoya</w:t>
      </w:r>
      <w:r>
        <w:rPr>
          <w:rFonts w:ascii="Arial" w:hAnsi="Arial" w:cs="Arial"/>
          <w:b/>
          <w:sz w:val="24"/>
          <w:szCs w:val="24"/>
        </w:rPr>
        <w:t xml:space="preserve">. </w:t>
      </w:r>
      <w:r w:rsidRPr="00885D27">
        <w:rPr>
          <w:rFonts w:ascii="Arial" w:hAnsi="Arial" w:cs="Arial"/>
          <w:b/>
          <w:sz w:val="24"/>
          <w:szCs w:val="24"/>
        </w:rPr>
        <w:t>Juzgado 23 Administrativo de Medellín</w:t>
      </w:r>
      <w:r w:rsidR="00F1649F">
        <w:rPr>
          <w:rFonts w:ascii="Arial" w:hAnsi="Arial" w:cs="Arial"/>
          <w:b/>
          <w:sz w:val="24"/>
          <w:szCs w:val="24"/>
        </w:rPr>
        <w:t>.</w:t>
      </w:r>
    </w:p>
    <w:p w14:paraId="326AA0B8" w14:textId="6A598866" w:rsidR="008D55FF" w:rsidRPr="008D55FF" w:rsidRDefault="008D55FF" w:rsidP="008D55FF">
      <w:pPr>
        <w:shd w:val="clear" w:color="auto" w:fill="FFFFFF"/>
        <w:spacing w:after="0"/>
        <w:jc w:val="both"/>
        <w:rPr>
          <w:rFonts w:ascii="Arial" w:hAnsi="Arial" w:cs="Arial"/>
          <w:bCs/>
          <w:sz w:val="24"/>
          <w:szCs w:val="24"/>
        </w:rPr>
      </w:pPr>
      <w:r w:rsidRPr="008D55FF">
        <w:rPr>
          <w:rFonts w:ascii="Arial" w:hAnsi="Arial" w:cs="Arial"/>
          <w:bCs/>
          <w:sz w:val="24"/>
          <w:szCs w:val="24"/>
        </w:rPr>
        <w:t>Los miembros del Comité de Conciliación estudiaron la solicitud presentada por Claudia Patricia Agredo, Yésica Patricia Ríos Agredo, Violet Bedoya Ríos, Juliana Ríos Agredo, Darwin Ríos Agredo y Luisa Fernanda Ríos Agredo, familiares de Luz Marina Agredo Gómez, quien falleció el 26 de noviembre de 2021 tras ser atropellada por un vehículo del Metroplús. Las víctimas indirectas demandaron a la Empresa de Transporte Masivo del Valle de Aburrá (“Metro de Medellín”), a Seguros Generales Suramericana S.A. y al conductor Nelson Alexander Berrío Zapata, reclamando $704.850.000 por perjuicios materiales e inmateriales. Como parte del proceso, el Metro llamó en garantía a la I.U. Pascual Bravo, argumentando que, en el contrato interadministrativo con cláusula de indemnidad, la institución se obligó a capacitar al personal que conducía el vehículo afectado. En respuesta, la I.U. Pascual Bravo contestó la demanda e hizo llamamiento en garantía a la Fundación Pascual Bravo —que contrató al conductor— y a Seguros Suramericana, amparada en pólizas de responsabilidad civil.</w:t>
      </w:r>
    </w:p>
    <w:p w14:paraId="3FA47EF9" w14:textId="77777777" w:rsidR="008D55FF" w:rsidRPr="008D55FF" w:rsidRDefault="008D55FF" w:rsidP="008D55FF">
      <w:pPr>
        <w:shd w:val="clear" w:color="auto" w:fill="FFFFFF"/>
        <w:spacing w:after="0"/>
        <w:jc w:val="both"/>
        <w:rPr>
          <w:rFonts w:ascii="Arial" w:hAnsi="Arial" w:cs="Arial"/>
          <w:bCs/>
          <w:sz w:val="24"/>
          <w:szCs w:val="24"/>
        </w:rPr>
      </w:pPr>
    </w:p>
    <w:p w14:paraId="4A771BF8" w14:textId="1CA2BD67" w:rsidR="008D55FF" w:rsidRPr="008D55FF" w:rsidRDefault="008D55FF" w:rsidP="008D55FF">
      <w:pPr>
        <w:shd w:val="clear" w:color="auto" w:fill="FFFFFF"/>
        <w:spacing w:after="0"/>
        <w:jc w:val="both"/>
        <w:rPr>
          <w:rFonts w:ascii="Arial" w:hAnsi="Arial" w:cs="Arial"/>
          <w:bCs/>
          <w:sz w:val="24"/>
          <w:szCs w:val="24"/>
        </w:rPr>
      </w:pPr>
      <w:r w:rsidRPr="008D55FF">
        <w:rPr>
          <w:rFonts w:ascii="Arial" w:hAnsi="Arial" w:cs="Arial"/>
          <w:bCs/>
          <w:sz w:val="24"/>
          <w:szCs w:val="24"/>
        </w:rPr>
        <w:t>Se estimó una probabilidad de condena de nivel 2 (media) para la I.U. Pascual Bravo. Esto se basa en la jurisprudencia del Consejo de Estado, que establece la responsabilidad objetiva para actividades peligrosas como el transporte público y exige probar un eximente como culpa exclusiva de la víctima o la fuerza mayor para exonerar al Estado. En este caso, hay indicios claros de culpa exclusiva de la víctima: la señora Agredo transitaba con dificultades de movilidad en una zona peligrosa y el conductor tenía visibilidad limitada, lo cual será decisivo en la fase probatoria.</w:t>
      </w:r>
    </w:p>
    <w:p w14:paraId="5678E331" w14:textId="77777777" w:rsidR="008D55FF" w:rsidRPr="008D55FF" w:rsidRDefault="008D55FF" w:rsidP="008D55FF">
      <w:pPr>
        <w:shd w:val="clear" w:color="auto" w:fill="FFFFFF"/>
        <w:spacing w:after="0"/>
        <w:jc w:val="both"/>
        <w:rPr>
          <w:rFonts w:ascii="Arial" w:hAnsi="Arial" w:cs="Arial"/>
          <w:bCs/>
          <w:sz w:val="24"/>
          <w:szCs w:val="24"/>
        </w:rPr>
      </w:pPr>
    </w:p>
    <w:p w14:paraId="76B0B06E" w14:textId="77777777" w:rsidR="008D55FF" w:rsidRPr="008D55FF" w:rsidRDefault="008D55FF" w:rsidP="008D55FF">
      <w:pPr>
        <w:shd w:val="clear" w:color="auto" w:fill="FFFFFF"/>
        <w:spacing w:after="0"/>
        <w:jc w:val="both"/>
        <w:rPr>
          <w:rFonts w:ascii="Arial" w:hAnsi="Arial" w:cs="Arial"/>
          <w:bCs/>
          <w:sz w:val="24"/>
          <w:szCs w:val="24"/>
        </w:rPr>
      </w:pPr>
      <w:r w:rsidRPr="008D55FF">
        <w:rPr>
          <w:rFonts w:ascii="Arial" w:hAnsi="Arial" w:cs="Arial"/>
          <w:bCs/>
          <w:sz w:val="24"/>
          <w:szCs w:val="24"/>
        </w:rPr>
        <w:t>Además, aunque el conductor fue vinculado laboralmente por la Fundación Pascual Bravo, la responsabilidad directa sobre la prestación del servicio recae sobre el Metro de Medellín, tal como lo ha reconocido un reciente fallo del Juzgado 30 Administrativo del Circuito de Oralidad de Medellín, aún en apelación. Esta resolución indicó que en casos similares la I.U. Pascual Bravo no puede ser condenada como llamada en garantía.</w:t>
      </w:r>
    </w:p>
    <w:p w14:paraId="0A377333" w14:textId="46010E6B" w:rsidR="008D55FF" w:rsidRDefault="008D55FF" w:rsidP="008D55FF">
      <w:pPr>
        <w:shd w:val="clear" w:color="auto" w:fill="FFFFFF"/>
        <w:spacing w:after="0"/>
        <w:jc w:val="both"/>
        <w:rPr>
          <w:rFonts w:ascii="Arial" w:hAnsi="Arial" w:cs="Arial"/>
          <w:bCs/>
          <w:sz w:val="24"/>
          <w:szCs w:val="24"/>
        </w:rPr>
      </w:pPr>
      <w:r w:rsidRPr="008D55FF">
        <w:rPr>
          <w:rFonts w:ascii="Arial" w:hAnsi="Arial" w:cs="Arial"/>
          <w:bCs/>
          <w:sz w:val="24"/>
          <w:szCs w:val="24"/>
        </w:rPr>
        <w:lastRenderedPageBreak/>
        <w:t>Considerando lo anterior y la presencia de variables inciertas sobre la certeza de condena, el Comité concluyó que no era procedente proponer una conciliación. La decisión fue respaldada de manera unánime por Juan Pablo Martínez, Liliana Patricia Restrepo, Sebastián Arroyave Gómez y Yuly Amparo Santos, quienes votaron No conciliar. Este enfoque refleja una postura técnica, prudente y coherente con los lineamientos institucionales de defensa jurídica.</w:t>
      </w:r>
    </w:p>
    <w:p w14:paraId="6B29C091" w14:textId="77777777" w:rsidR="00BC558F" w:rsidRPr="008D55FF" w:rsidRDefault="00BC558F" w:rsidP="008D55FF">
      <w:pPr>
        <w:shd w:val="clear" w:color="auto" w:fill="FFFFFF"/>
        <w:spacing w:after="0"/>
        <w:jc w:val="both"/>
        <w:rPr>
          <w:rFonts w:ascii="Arial" w:hAnsi="Arial" w:cs="Arial"/>
          <w:bCs/>
          <w:sz w:val="24"/>
          <w:szCs w:val="24"/>
        </w:rPr>
      </w:pPr>
    </w:p>
    <w:p w14:paraId="1F237161" w14:textId="762BF531" w:rsidR="0012035F" w:rsidRPr="001E6133" w:rsidRDefault="00AD0F48" w:rsidP="00AD0F48">
      <w:pPr>
        <w:pStyle w:val="Prrafodelista"/>
        <w:numPr>
          <w:ilvl w:val="0"/>
          <w:numId w:val="29"/>
        </w:numPr>
        <w:spacing w:after="0"/>
        <w:jc w:val="both"/>
        <w:rPr>
          <w:rFonts w:ascii="Arial" w:hAnsi="Arial" w:cs="Arial"/>
          <w:sz w:val="24"/>
          <w:szCs w:val="24"/>
        </w:rPr>
      </w:pPr>
      <w:r>
        <w:rPr>
          <w:rFonts w:ascii="Arial" w:hAnsi="Arial" w:cs="Arial"/>
          <w:b/>
          <w:sz w:val="24"/>
          <w:szCs w:val="24"/>
        </w:rPr>
        <w:t>RECOMENDACIONES.</w:t>
      </w:r>
    </w:p>
    <w:p w14:paraId="784FDE2E" w14:textId="77777777" w:rsidR="000370D3" w:rsidRDefault="000370D3" w:rsidP="008931B3">
      <w:pPr>
        <w:spacing w:after="0"/>
        <w:jc w:val="both"/>
        <w:rPr>
          <w:rFonts w:ascii="Arial" w:hAnsi="Arial" w:cs="Arial"/>
          <w:sz w:val="24"/>
          <w:szCs w:val="24"/>
        </w:rPr>
      </w:pPr>
    </w:p>
    <w:p w14:paraId="1BDC85B2" w14:textId="77777777" w:rsidR="000370D3" w:rsidRPr="000370D3" w:rsidRDefault="008931B3" w:rsidP="001E6133">
      <w:pPr>
        <w:pStyle w:val="Prrafodelista"/>
        <w:numPr>
          <w:ilvl w:val="1"/>
          <w:numId w:val="29"/>
        </w:numPr>
        <w:spacing w:after="0"/>
        <w:jc w:val="both"/>
        <w:rPr>
          <w:rFonts w:ascii="Arial" w:hAnsi="Arial" w:cs="Arial"/>
          <w:sz w:val="24"/>
          <w:szCs w:val="24"/>
        </w:rPr>
      </w:pPr>
      <w:r w:rsidRPr="000370D3">
        <w:rPr>
          <w:rFonts w:ascii="Arial" w:hAnsi="Arial" w:cs="Arial"/>
          <w:sz w:val="24"/>
          <w:szCs w:val="24"/>
        </w:rPr>
        <w:t>Se recomienda f</w:t>
      </w:r>
      <w:r w:rsidR="000B2FAC" w:rsidRPr="000370D3">
        <w:rPr>
          <w:rFonts w:ascii="Arial" w:hAnsi="Arial" w:cs="Arial"/>
          <w:sz w:val="24"/>
          <w:szCs w:val="24"/>
        </w:rPr>
        <w:t>ortalecer la calidad de actas y registro de decisiones</w:t>
      </w:r>
      <w:r w:rsidRPr="000370D3">
        <w:rPr>
          <w:rFonts w:ascii="Arial" w:hAnsi="Arial" w:cs="Arial"/>
          <w:sz w:val="24"/>
          <w:szCs w:val="24"/>
        </w:rPr>
        <w:t>, utilizando</w:t>
      </w:r>
      <w:r w:rsidR="000370D3">
        <w:rPr>
          <w:rFonts w:ascii="Arial" w:hAnsi="Arial" w:cs="Arial"/>
          <w:sz w:val="24"/>
          <w:szCs w:val="24"/>
        </w:rPr>
        <w:t xml:space="preserve"> </w:t>
      </w:r>
      <w:r w:rsidR="000B2FAC" w:rsidRPr="000370D3">
        <w:rPr>
          <w:rFonts w:ascii="Arial" w:hAnsi="Arial" w:cs="Arial"/>
          <w:sz w:val="24"/>
          <w:szCs w:val="24"/>
        </w:rPr>
        <w:t>actas estructuradas, firmadas (físicamente o digitalmente) dentro del plazo reglamentario, y dotarles de integridad mediante formatos seguros y trazables</w:t>
      </w:r>
      <w:r w:rsidRPr="000370D3">
        <w:rPr>
          <w:rFonts w:ascii="Arial" w:hAnsi="Arial" w:cs="Arial"/>
          <w:sz w:val="24"/>
          <w:szCs w:val="24"/>
        </w:rPr>
        <w:t xml:space="preserve">. </w:t>
      </w:r>
      <w:r w:rsidR="000B2FAC" w:rsidRPr="000370D3">
        <w:rPr>
          <w:rFonts w:ascii="Arial" w:hAnsi="Arial" w:cs="Arial"/>
          <w:sz w:val="24"/>
          <w:szCs w:val="24"/>
          <w:lang w:val="es-ES"/>
        </w:rPr>
        <w:t>Incorporar firmas (presidente y secretario) en las actas dentro de los cinco días posteriores, según lo exige el Decreto 1069.</w:t>
      </w:r>
      <w:r w:rsidR="00F03803" w:rsidRPr="000370D3">
        <w:rPr>
          <w:rFonts w:ascii="Arial" w:hAnsi="Arial" w:cs="Arial"/>
          <w:sz w:val="24"/>
          <w:szCs w:val="24"/>
          <w:lang w:val="es-ES"/>
        </w:rPr>
        <w:t xml:space="preserve"> </w:t>
      </w:r>
    </w:p>
    <w:p w14:paraId="3E22D3A4" w14:textId="77777777" w:rsidR="000370D3" w:rsidRPr="000370D3" w:rsidRDefault="000370D3" w:rsidP="000370D3">
      <w:pPr>
        <w:pStyle w:val="Prrafodelista"/>
        <w:spacing w:after="0"/>
        <w:jc w:val="both"/>
        <w:rPr>
          <w:rFonts w:ascii="Arial" w:hAnsi="Arial" w:cs="Arial"/>
          <w:sz w:val="24"/>
          <w:szCs w:val="24"/>
        </w:rPr>
      </w:pPr>
    </w:p>
    <w:p w14:paraId="5606552E" w14:textId="04804B2F" w:rsidR="000370D3" w:rsidRDefault="008678EC" w:rsidP="001E6133">
      <w:pPr>
        <w:pStyle w:val="Prrafodelista"/>
        <w:numPr>
          <w:ilvl w:val="1"/>
          <w:numId w:val="29"/>
        </w:numPr>
        <w:spacing w:after="0"/>
        <w:jc w:val="both"/>
        <w:rPr>
          <w:rFonts w:ascii="Arial" w:hAnsi="Arial" w:cs="Arial"/>
          <w:sz w:val="24"/>
          <w:szCs w:val="24"/>
        </w:rPr>
      </w:pPr>
      <w:r w:rsidRPr="000370D3">
        <w:rPr>
          <w:rFonts w:ascii="Arial" w:hAnsi="Arial" w:cs="Arial"/>
          <w:sz w:val="24"/>
          <w:szCs w:val="24"/>
        </w:rPr>
        <w:t>Se sugiere fortalecer la gestión de exenciones fiscales, anticipando solicitudes de exención predial con soporte legal antes de la fecha límite para evitar recargos. En caso de pagos indebidos, se deberá evaluar la apertura de acciones disciplinarias o de recuperación (repetición) frente a posibles fallos en el procedimiento administrativo.</w:t>
      </w:r>
    </w:p>
    <w:p w14:paraId="4BFEBA86" w14:textId="77777777" w:rsidR="000370D3" w:rsidRPr="000370D3" w:rsidRDefault="000370D3" w:rsidP="000370D3">
      <w:pPr>
        <w:pStyle w:val="Prrafodelista"/>
        <w:rPr>
          <w:rFonts w:ascii="Arial" w:hAnsi="Arial" w:cs="Arial"/>
          <w:sz w:val="24"/>
          <w:szCs w:val="24"/>
        </w:rPr>
      </w:pPr>
    </w:p>
    <w:p w14:paraId="41801D55" w14:textId="77777777" w:rsidR="000370D3" w:rsidRDefault="009D2650" w:rsidP="006A0005">
      <w:pPr>
        <w:pStyle w:val="Prrafodelista"/>
        <w:numPr>
          <w:ilvl w:val="1"/>
          <w:numId w:val="29"/>
        </w:numPr>
        <w:spacing w:after="0"/>
        <w:jc w:val="both"/>
        <w:rPr>
          <w:rFonts w:ascii="Arial" w:hAnsi="Arial" w:cs="Arial"/>
          <w:sz w:val="24"/>
          <w:szCs w:val="24"/>
        </w:rPr>
      </w:pPr>
      <w:r w:rsidRPr="000370D3">
        <w:rPr>
          <w:rFonts w:ascii="Arial" w:hAnsi="Arial" w:cs="Arial"/>
          <w:sz w:val="24"/>
          <w:szCs w:val="24"/>
        </w:rPr>
        <w:t>Es indispensable implementar un programa de formación teórico-práctico basado en la Ley 2220 de 2022 y la jurisprudencia actual, que abarque áreas como conciliación en derecho administrativo, laboral y penal. Esto responde al mandato legal que exige formación anual para los miembros del Comité, facilitada por entidades como el Ministerio de Justicia y la Procuraduría.</w:t>
      </w:r>
    </w:p>
    <w:p w14:paraId="6AF22449" w14:textId="77777777" w:rsidR="000370D3" w:rsidRPr="000370D3" w:rsidRDefault="000370D3" w:rsidP="000370D3">
      <w:pPr>
        <w:pStyle w:val="Prrafodelista"/>
        <w:rPr>
          <w:rFonts w:ascii="Arial" w:hAnsi="Arial" w:cs="Arial"/>
          <w:sz w:val="24"/>
          <w:szCs w:val="24"/>
          <w:lang w:val="es-ES"/>
        </w:rPr>
      </w:pPr>
    </w:p>
    <w:p w14:paraId="394C2576" w14:textId="77777777" w:rsidR="000370D3" w:rsidRPr="000370D3" w:rsidRDefault="009D2650" w:rsidP="006A0005">
      <w:pPr>
        <w:pStyle w:val="Prrafodelista"/>
        <w:numPr>
          <w:ilvl w:val="1"/>
          <w:numId w:val="29"/>
        </w:numPr>
        <w:spacing w:after="0"/>
        <w:jc w:val="both"/>
        <w:rPr>
          <w:rFonts w:ascii="Arial" w:hAnsi="Arial" w:cs="Arial"/>
          <w:sz w:val="24"/>
          <w:szCs w:val="24"/>
        </w:rPr>
      </w:pPr>
      <w:r w:rsidRPr="000370D3">
        <w:rPr>
          <w:rFonts w:ascii="Arial" w:hAnsi="Arial" w:cs="Arial"/>
          <w:sz w:val="24"/>
          <w:szCs w:val="24"/>
          <w:lang w:val="es-ES"/>
        </w:rPr>
        <w:t>Se recomienda estructurar reinducciones cada seis meses para mantener a los miembros informados sobre novedades normativas, jurisprudenciales y metodológicas, garantizando una actuación siempre actualizada y ajustada al marco legal.</w:t>
      </w:r>
    </w:p>
    <w:p w14:paraId="3945FF54" w14:textId="77777777" w:rsidR="000370D3" w:rsidRPr="000370D3" w:rsidRDefault="000370D3" w:rsidP="000370D3">
      <w:pPr>
        <w:pStyle w:val="Prrafodelista"/>
        <w:rPr>
          <w:rFonts w:ascii="Arial" w:hAnsi="Arial" w:cs="Arial"/>
          <w:sz w:val="24"/>
          <w:szCs w:val="24"/>
          <w:lang w:val="es-ES"/>
        </w:rPr>
      </w:pPr>
    </w:p>
    <w:p w14:paraId="073389E6" w14:textId="77777777" w:rsidR="000370D3" w:rsidRDefault="005A18E3" w:rsidP="001E6133">
      <w:pPr>
        <w:pStyle w:val="Prrafodelista"/>
        <w:numPr>
          <w:ilvl w:val="1"/>
          <w:numId w:val="29"/>
        </w:numPr>
        <w:spacing w:after="0"/>
        <w:jc w:val="both"/>
        <w:rPr>
          <w:rFonts w:ascii="Arial" w:hAnsi="Arial" w:cs="Arial"/>
          <w:sz w:val="24"/>
          <w:szCs w:val="24"/>
        </w:rPr>
      </w:pPr>
      <w:r w:rsidRPr="000370D3">
        <w:rPr>
          <w:rFonts w:ascii="Arial" w:hAnsi="Arial" w:cs="Arial"/>
          <w:sz w:val="24"/>
          <w:szCs w:val="24"/>
          <w:lang w:val="es-ES"/>
        </w:rPr>
        <w:lastRenderedPageBreak/>
        <w:t xml:space="preserve">Se recomienda </w:t>
      </w:r>
      <w:r w:rsidRPr="000370D3">
        <w:rPr>
          <w:rFonts w:ascii="Arial" w:hAnsi="Arial" w:cs="Arial"/>
          <w:sz w:val="24"/>
          <w:szCs w:val="24"/>
        </w:rPr>
        <w:t xml:space="preserve">abordar temas puntuales de alto impacto como retenciones tributarias, contratos de reconocimiento de obligaciones, exenciones fiscales y litigios complejos (predial, laboral, daños antijurídicos). </w:t>
      </w:r>
      <w:r w:rsidR="009D2650" w:rsidRPr="000370D3">
        <w:rPr>
          <w:rFonts w:ascii="Arial" w:hAnsi="Arial" w:cs="Arial"/>
          <w:sz w:val="24"/>
          <w:szCs w:val="24"/>
        </w:rPr>
        <w:t>Estos espacios deben incluir análisis de casos reales (p. ej., Datolabs, predial), discusión de estrategias y lecciones aprendidas.</w:t>
      </w:r>
    </w:p>
    <w:p w14:paraId="5F3DDF8B" w14:textId="77777777" w:rsidR="000370D3" w:rsidRPr="000370D3" w:rsidRDefault="000370D3" w:rsidP="000370D3">
      <w:pPr>
        <w:pStyle w:val="Prrafodelista"/>
        <w:rPr>
          <w:rFonts w:ascii="Arial" w:hAnsi="Arial" w:cs="Arial"/>
          <w:sz w:val="24"/>
          <w:szCs w:val="24"/>
        </w:rPr>
      </w:pPr>
    </w:p>
    <w:p w14:paraId="7CF8E142" w14:textId="7826E531" w:rsidR="000B2FAC" w:rsidRPr="000370D3" w:rsidRDefault="005C4A26" w:rsidP="000370D3">
      <w:pPr>
        <w:pStyle w:val="Prrafodelista"/>
        <w:spacing w:after="0"/>
        <w:jc w:val="both"/>
        <w:rPr>
          <w:rFonts w:ascii="Arial" w:hAnsi="Arial" w:cs="Arial"/>
          <w:sz w:val="24"/>
          <w:szCs w:val="24"/>
        </w:rPr>
      </w:pPr>
      <w:r w:rsidRPr="000370D3">
        <w:rPr>
          <w:rFonts w:ascii="Arial" w:hAnsi="Arial" w:cs="Arial"/>
          <w:sz w:val="24"/>
          <w:szCs w:val="24"/>
        </w:rPr>
        <w:t>Un Comité de Conciliación bien preparado no solo cumple con obligaciones legales, sino que fortalece la gestión institucional, mejora la prevención de riesgos y optimiza la resolución de conflictos con fundamento jurídico sólido y transparencia. Implementar un programa de capacitación robusto y continuo, alineado con las exigencias regulatorias y buenas prácticas nacionales, elevará la capacidad y legitimidad del Comité en su labor.</w:t>
      </w:r>
    </w:p>
    <w:p w14:paraId="14FE90AB" w14:textId="77777777" w:rsidR="000B2FAC" w:rsidRDefault="000B2FAC" w:rsidP="001E6133">
      <w:pPr>
        <w:spacing w:after="0"/>
        <w:jc w:val="both"/>
        <w:rPr>
          <w:rFonts w:ascii="Arial" w:hAnsi="Arial" w:cs="Arial"/>
          <w:sz w:val="24"/>
          <w:szCs w:val="24"/>
        </w:rPr>
      </w:pPr>
    </w:p>
    <w:p w14:paraId="74507720" w14:textId="77777777" w:rsidR="00E060BD" w:rsidRDefault="00E060BD" w:rsidP="00E060BD">
      <w:pPr>
        <w:pStyle w:val="Prrafodelista"/>
        <w:numPr>
          <w:ilvl w:val="0"/>
          <w:numId w:val="29"/>
        </w:numPr>
        <w:shd w:val="clear" w:color="auto" w:fill="FFFFFF"/>
        <w:spacing w:after="0" w:line="240" w:lineRule="auto"/>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CONCLUSIONES.</w:t>
      </w:r>
    </w:p>
    <w:p w14:paraId="152A7D0E" w14:textId="3891389D" w:rsidR="00E060BD" w:rsidRPr="00E060BD" w:rsidRDefault="00E060BD" w:rsidP="00E060BD">
      <w:pPr>
        <w:shd w:val="clear" w:color="auto" w:fill="FFFFFF"/>
        <w:spacing w:after="0" w:line="240" w:lineRule="auto"/>
        <w:ind w:left="360"/>
        <w:jc w:val="both"/>
        <w:rPr>
          <w:rFonts w:ascii="Arial" w:eastAsia="Times New Roman" w:hAnsi="Arial" w:cs="Arial"/>
          <w:b/>
          <w:color w:val="000000" w:themeColor="text1"/>
          <w:sz w:val="24"/>
          <w:szCs w:val="24"/>
          <w:lang w:eastAsia="es-CO"/>
        </w:rPr>
      </w:pPr>
    </w:p>
    <w:p w14:paraId="7CD62D4F" w14:textId="12CE039F" w:rsidR="007E044D" w:rsidRDefault="009E21CA" w:rsidP="009E21CA">
      <w:pPr>
        <w:pStyle w:val="Prrafodelista"/>
        <w:numPr>
          <w:ilvl w:val="1"/>
          <w:numId w:val="36"/>
        </w:numPr>
        <w:spacing w:after="0"/>
        <w:jc w:val="both"/>
        <w:rPr>
          <w:rFonts w:ascii="Arial" w:hAnsi="Arial" w:cs="Arial"/>
          <w:bCs/>
          <w:sz w:val="24"/>
          <w:szCs w:val="24"/>
          <w:lang w:val="es-ES"/>
        </w:rPr>
      </w:pPr>
      <w:r w:rsidRPr="009E21CA">
        <w:rPr>
          <w:rFonts w:ascii="Arial" w:hAnsi="Arial" w:cs="Arial"/>
          <w:bCs/>
          <w:sz w:val="24"/>
          <w:szCs w:val="24"/>
          <w:lang w:val="es-ES"/>
        </w:rPr>
        <w:t>Conforme al artículo 2.2.4.3.1.2.4 del Decreto 1069 de 2015, el Comité de Conciliación debe reunirse al menos dos veces al mes, y también en forma extraordinaria cuando las circunstancias lo requieran. Durante el periodo analizado, el Comité cumplió esta exigencia, lo que no solo evidencia su diligencia institucional, sino que además refuerza la legitimidad y validez de sus decisiones. Esta periodicidad sistemática garantiza un espacio permanente para deliberar temas relevantes, promoviendo una gestión transparente, coherente y alineada con las mejores prácticas de gobierno corporativo.</w:t>
      </w:r>
    </w:p>
    <w:p w14:paraId="2B0DF4FB" w14:textId="77777777" w:rsidR="00194E75" w:rsidRPr="009E21CA" w:rsidRDefault="00194E75" w:rsidP="00194E75">
      <w:pPr>
        <w:pStyle w:val="Prrafodelista"/>
        <w:spacing w:after="0"/>
        <w:jc w:val="both"/>
        <w:rPr>
          <w:rFonts w:ascii="Arial" w:hAnsi="Arial" w:cs="Arial"/>
          <w:bCs/>
          <w:sz w:val="24"/>
          <w:szCs w:val="24"/>
          <w:lang w:val="es-ES"/>
        </w:rPr>
      </w:pPr>
    </w:p>
    <w:p w14:paraId="0A52DE11" w14:textId="552FD7E7" w:rsidR="00D417F0" w:rsidRDefault="00194E75" w:rsidP="00194E75">
      <w:pPr>
        <w:pStyle w:val="Prrafodelista"/>
        <w:numPr>
          <w:ilvl w:val="1"/>
          <w:numId w:val="36"/>
        </w:numPr>
        <w:spacing w:after="0"/>
        <w:jc w:val="both"/>
        <w:rPr>
          <w:rFonts w:ascii="Arial" w:hAnsi="Arial" w:cs="Arial"/>
          <w:bCs/>
          <w:sz w:val="24"/>
          <w:szCs w:val="24"/>
          <w:lang w:val="es-ES"/>
        </w:rPr>
      </w:pPr>
      <w:r w:rsidRPr="00194E75">
        <w:rPr>
          <w:rFonts w:ascii="Arial" w:hAnsi="Arial" w:cs="Arial"/>
          <w:bCs/>
          <w:sz w:val="24"/>
          <w:szCs w:val="24"/>
          <w:lang w:val="es-ES"/>
        </w:rPr>
        <w:t>El Comité ha mostrado un enfoque técnico riguroso y preventivo, valorando cada caso con criterios jurídicos sólidos y asumiendo decisiones prudentes en escenarios con riesgo legal o económico potencial.</w:t>
      </w:r>
    </w:p>
    <w:p w14:paraId="26CA94B4" w14:textId="77777777" w:rsidR="00194E75" w:rsidRPr="00194E75" w:rsidRDefault="00194E75" w:rsidP="00194E75">
      <w:pPr>
        <w:spacing w:after="0"/>
        <w:jc w:val="both"/>
        <w:rPr>
          <w:rFonts w:ascii="Arial" w:hAnsi="Arial" w:cs="Arial"/>
          <w:bCs/>
          <w:sz w:val="24"/>
          <w:szCs w:val="24"/>
          <w:lang w:val="es-ES"/>
        </w:rPr>
      </w:pPr>
    </w:p>
    <w:p w14:paraId="43A07CE6" w14:textId="77777777" w:rsidR="0098011C" w:rsidRDefault="00194E75" w:rsidP="0098011C">
      <w:pPr>
        <w:pStyle w:val="Prrafodelista"/>
        <w:numPr>
          <w:ilvl w:val="1"/>
          <w:numId w:val="36"/>
        </w:numPr>
        <w:spacing w:after="0"/>
        <w:jc w:val="both"/>
        <w:rPr>
          <w:rFonts w:ascii="Arial" w:hAnsi="Arial" w:cs="Arial"/>
          <w:bCs/>
          <w:sz w:val="24"/>
          <w:szCs w:val="24"/>
          <w:lang w:val="es-ES"/>
        </w:rPr>
      </w:pPr>
      <w:r w:rsidRPr="00194E75">
        <w:rPr>
          <w:rFonts w:ascii="Arial" w:hAnsi="Arial" w:cs="Arial"/>
          <w:bCs/>
          <w:sz w:val="24"/>
          <w:szCs w:val="24"/>
          <w:lang w:val="es-ES"/>
        </w:rPr>
        <w:t>Aunque las actas registran los procesos de gestión, se identifican oportunidades de mejora en formalidad, firma y seguridad documental. Fortalecer estos elementos es esencial para garantizar su completa validez jurídica.</w:t>
      </w:r>
    </w:p>
    <w:p w14:paraId="7EE4494F" w14:textId="77777777" w:rsidR="0098011C" w:rsidRPr="0098011C" w:rsidRDefault="0098011C" w:rsidP="0098011C">
      <w:pPr>
        <w:pStyle w:val="Prrafodelista"/>
        <w:rPr>
          <w:rFonts w:ascii="Arial" w:hAnsi="Arial" w:cs="Arial"/>
          <w:bCs/>
          <w:sz w:val="24"/>
          <w:szCs w:val="24"/>
          <w:lang w:val="es-ES"/>
        </w:rPr>
      </w:pPr>
    </w:p>
    <w:p w14:paraId="35D7A088" w14:textId="77777777" w:rsidR="00FC6C04" w:rsidRDefault="0098011C" w:rsidP="00FC6C04">
      <w:pPr>
        <w:pStyle w:val="Prrafodelista"/>
        <w:numPr>
          <w:ilvl w:val="1"/>
          <w:numId w:val="36"/>
        </w:numPr>
        <w:spacing w:after="0"/>
        <w:jc w:val="both"/>
        <w:rPr>
          <w:rFonts w:ascii="Arial" w:hAnsi="Arial" w:cs="Arial"/>
          <w:bCs/>
          <w:sz w:val="24"/>
          <w:szCs w:val="24"/>
          <w:lang w:val="es-ES"/>
        </w:rPr>
      </w:pPr>
      <w:r w:rsidRPr="0098011C">
        <w:rPr>
          <w:rFonts w:ascii="Arial" w:hAnsi="Arial" w:cs="Arial"/>
          <w:bCs/>
          <w:sz w:val="24"/>
          <w:szCs w:val="24"/>
          <w:lang w:val="es-ES"/>
        </w:rPr>
        <w:t>La Institución demostró responsabilidad institucional al cumplir oportunamente el pago del impuesto predial y buscar mecanismos para recuperar valores pagados a terceros, lo que muestra una actitud proactiva frente a obligaciones fiscales.</w:t>
      </w:r>
    </w:p>
    <w:p w14:paraId="2C364884" w14:textId="77777777" w:rsidR="00FC6C04" w:rsidRPr="00FC6C04" w:rsidRDefault="00FC6C04" w:rsidP="00FC6C04">
      <w:pPr>
        <w:pStyle w:val="Prrafodelista"/>
        <w:rPr>
          <w:rFonts w:ascii="Arial" w:hAnsi="Arial" w:cs="Arial"/>
          <w:sz w:val="24"/>
          <w:szCs w:val="24"/>
        </w:rPr>
      </w:pPr>
    </w:p>
    <w:p w14:paraId="35326E95" w14:textId="65F36904" w:rsidR="00FC6C04" w:rsidRPr="00FC6C04" w:rsidRDefault="00FC6C04" w:rsidP="00FC6C04">
      <w:pPr>
        <w:pStyle w:val="Prrafodelista"/>
        <w:numPr>
          <w:ilvl w:val="1"/>
          <w:numId w:val="36"/>
        </w:numPr>
        <w:spacing w:after="0"/>
        <w:jc w:val="both"/>
        <w:rPr>
          <w:rFonts w:ascii="Arial" w:hAnsi="Arial" w:cs="Arial"/>
          <w:bCs/>
          <w:sz w:val="24"/>
          <w:szCs w:val="24"/>
          <w:lang w:val="es-ES"/>
        </w:rPr>
      </w:pPr>
      <w:r w:rsidRPr="00FC6C04">
        <w:rPr>
          <w:rFonts w:ascii="Arial" w:hAnsi="Arial" w:cs="Arial"/>
          <w:sz w:val="24"/>
          <w:szCs w:val="24"/>
        </w:rPr>
        <w:t xml:space="preserve">Las recomendaciones formuladas en el </w:t>
      </w:r>
      <w:r w:rsidR="00234FB4">
        <w:rPr>
          <w:rFonts w:ascii="Arial" w:hAnsi="Arial" w:cs="Arial"/>
          <w:sz w:val="24"/>
          <w:szCs w:val="24"/>
        </w:rPr>
        <w:t xml:space="preserve">presente </w:t>
      </w:r>
      <w:r w:rsidRPr="00FC6C04">
        <w:rPr>
          <w:rFonts w:ascii="Arial" w:hAnsi="Arial" w:cs="Arial"/>
          <w:sz w:val="24"/>
          <w:szCs w:val="24"/>
        </w:rPr>
        <w:t>informe orientan hacia un sistema de control interno con mayor transparencia, trazabilidad y capacidad de respuesta frente a riesgos legales, tributarios y operacionales, alineado con las funciones establecidas en el Decreto Único Reglamentario 1069 de 2015</w:t>
      </w:r>
      <w:r w:rsidR="00CA4049">
        <w:rPr>
          <w:rFonts w:ascii="Arial" w:hAnsi="Arial" w:cs="Arial"/>
          <w:sz w:val="24"/>
          <w:szCs w:val="24"/>
        </w:rPr>
        <w:t>.</w:t>
      </w:r>
    </w:p>
    <w:p w14:paraId="79B93CCE" w14:textId="77777777" w:rsidR="00700BC8" w:rsidRDefault="00700BC8" w:rsidP="00700BC8">
      <w:pPr>
        <w:spacing w:after="0"/>
        <w:jc w:val="both"/>
        <w:rPr>
          <w:rFonts w:ascii="Arial" w:hAnsi="Arial" w:cs="Arial"/>
          <w:bCs/>
          <w:sz w:val="24"/>
          <w:szCs w:val="24"/>
          <w:lang w:val="es-ES"/>
        </w:rPr>
      </w:pPr>
    </w:p>
    <w:p w14:paraId="08D65C0B" w14:textId="7BEA6D89" w:rsidR="00AB28DB" w:rsidRDefault="00700BC8" w:rsidP="0006682A">
      <w:pPr>
        <w:spacing w:after="0"/>
        <w:jc w:val="both"/>
        <w:rPr>
          <w:rFonts w:ascii="Arial" w:hAnsi="Arial" w:cs="Arial"/>
          <w:bCs/>
          <w:sz w:val="24"/>
          <w:szCs w:val="24"/>
          <w:lang w:val="es-ES"/>
        </w:rPr>
      </w:pPr>
      <w:r>
        <w:rPr>
          <w:rFonts w:ascii="Arial" w:hAnsi="Arial" w:cs="Arial"/>
          <w:bCs/>
          <w:sz w:val="24"/>
          <w:szCs w:val="24"/>
          <w:lang w:val="es-ES"/>
        </w:rPr>
        <w:t xml:space="preserve">Cordialmente, </w:t>
      </w:r>
    </w:p>
    <w:p w14:paraId="20EA2285" w14:textId="77777777" w:rsidR="00700BC8" w:rsidRDefault="00700BC8" w:rsidP="0006682A">
      <w:pPr>
        <w:spacing w:after="0"/>
        <w:jc w:val="both"/>
        <w:rPr>
          <w:rFonts w:ascii="Arial" w:hAnsi="Arial" w:cs="Arial"/>
          <w:b/>
          <w:sz w:val="24"/>
          <w:szCs w:val="24"/>
        </w:rPr>
      </w:pPr>
    </w:p>
    <w:p w14:paraId="3C6674E9" w14:textId="77777777" w:rsidR="00FC25AC" w:rsidRDefault="00FC25AC" w:rsidP="0006682A">
      <w:pPr>
        <w:spacing w:after="0"/>
        <w:jc w:val="both"/>
        <w:rPr>
          <w:rFonts w:ascii="Arial" w:hAnsi="Arial" w:cs="Arial"/>
          <w:b/>
          <w:sz w:val="24"/>
          <w:szCs w:val="24"/>
        </w:rPr>
      </w:pPr>
    </w:p>
    <w:p w14:paraId="2DA11A7D" w14:textId="77777777" w:rsidR="00FC25AC" w:rsidRDefault="00FC25AC" w:rsidP="0006682A">
      <w:pPr>
        <w:spacing w:after="0"/>
        <w:jc w:val="both"/>
        <w:rPr>
          <w:rFonts w:ascii="Arial" w:hAnsi="Arial" w:cs="Arial"/>
          <w:b/>
          <w:sz w:val="24"/>
          <w:szCs w:val="24"/>
        </w:rPr>
      </w:pPr>
    </w:p>
    <w:p w14:paraId="4FAE64AE" w14:textId="77777777" w:rsidR="009E21CA" w:rsidRDefault="009E21CA" w:rsidP="008678F6">
      <w:pPr>
        <w:spacing w:after="0"/>
        <w:jc w:val="both"/>
        <w:rPr>
          <w:rFonts w:ascii="Arial" w:hAnsi="Arial" w:cs="Arial"/>
          <w:sz w:val="24"/>
          <w:szCs w:val="24"/>
        </w:rPr>
      </w:pPr>
    </w:p>
    <w:p w14:paraId="64E3BD54" w14:textId="77777777" w:rsidR="009F5FD8" w:rsidRPr="009F5FD8" w:rsidRDefault="009F5FD8" w:rsidP="008678F6">
      <w:pPr>
        <w:spacing w:after="0"/>
        <w:jc w:val="both"/>
        <w:rPr>
          <w:rFonts w:ascii="Arial" w:hAnsi="Arial" w:cs="Arial"/>
          <w:sz w:val="24"/>
          <w:szCs w:val="24"/>
        </w:rPr>
      </w:pPr>
    </w:p>
    <w:p w14:paraId="288CEB17" w14:textId="77777777" w:rsidR="008678F6" w:rsidRDefault="008678F6" w:rsidP="008678F6">
      <w:pPr>
        <w:spacing w:after="0"/>
        <w:jc w:val="both"/>
        <w:rPr>
          <w:rFonts w:ascii="Arial" w:hAnsi="Arial" w:cs="Arial"/>
          <w:b/>
          <w:sz w:val="24"/>
          <w:szCs w:val="20"/>
        </w:rPr>
      </w:pPr>
      <w:r>
        <w:rPr>
          <w:rFonts w:ascii="Arial" w:hAnsi="Arial" w:cs="Arial"/>
          <w:b/>
          <w:sz w:val="24"/>
          <w:szCs w:val="20"/>
        </w:rPr>
        <w:t>WILLIAM ECHAVARRÍA LOTERO</w:t>
      </w:r>
    </w:p>
    <w:p w14:paraId="41239CA9" w14:textId="4A9763AE" w:rsidR="008678F6" w:rsidRDefault="000659D3" w:rsidP="008678F6">
      <w:pPr>
        <w:spacing w:after="0"/>
        <w:jc w:val="both"/>
        <w:rPr>
          <w:rFonts w:ascii="Arial" w:hAnsi="Arial" w:cs="Arial"/>
          <w:sz w:val="24"/>
          <w:szCs w:val="20"/>
        </w:rPr>
      </w:pPr>
      <w:r>
        <w:rPr>
          <w:rFonts w:ascii="Arial" w:hAnsi="Arial" w:cs="Arial"/>
          <w:sz w:val="24"/>
          <w:szCs w:val="20"/>
        </w:rPr>
        <w:t xml:space="preserve">Jefe de la Dirección </w:t>
      </w:r>
      <w:r w:rsidR="008678F6">
        <w:rPr>
          <w:rFonts w:ascii="Arial" w:hAnsi="Arial" w:cs="Arial"/>
          <w:sz w:val="24"/>
          <w:szCs w:val="20"/>
        </w:rPr>
        <w:t>de Evaluación y Control</w:t>
      </w:r>
    </w:p>
    <w:tbl>
      <w:tblPr>
        <w:tblStyle w:val="Tablaconcuadrcula"/>
        <w:tblpPr w:leftFromText="141" w:rightFromText="141" w:vertAnchor="text" w:horzAnchor="margin" w:tblpY="187"/>
        <w:tblW w:w="8735" w:type="dxa"/>
        <w:tblLook w:val="04A0" w:firstRow="1" w:lastRow="0" w:firstColumn="1" w:lastColumn="0" w:noHBand="0" w:noVBand="1"/>
      </w:tblPr>
      <w:tblGrid>
        <w:gridCol w:w="1271"/>
        <w:gridCol w:w="5480"/>
        <w:gridCol w:w="1984"/>
      </w:tblGrid>
      <w:tr w:rsidR="00F0356B" w:rsidRPr="00377641" w14:paraId="453F933F" w14:textId="77777777" w:rsidTr="00F0356B">
        <w:tc>
          <w:tcPr>
            <w:tcW w:w="1271" w:type="dxa"/>
            <w:vMerge w:val="restart"/>
          </w:tcPr>
          <w:p w14:paraId="25B79558" w14:textId="77777777" w:rsidR="00F0356B" w:rsidRPr="00377641" w:rsidRDefault="00F0356B" w:rsidP="00F0356B">
            <w:pPr>
              <w:rPr>
                <w:rFonts w:ascii="Arial" w:hAnsi="Arial" w:cs="Arial"/>
                <w:b/>
                <w:sz w:val="16"/>
                <w:szCs w:val="16"/>
              </w:rPr>
            </w:pPr>
          </w:p>
          <w:p w14:paraId="0EE904F9" w14:textId="77777777" w:rsidR="00F0356B" w:rsidRPr="00377641" w:rsidRDefault="00F0356B" w:rsidP="00F0356B">
            <w:pPr>
              <w:rPr>
                <w:rFonts w:ascii="Arial" w:hAnsi="Arial" w:cs="Arial"/>
                <w:b/>
                <w:sz w:val="16"/>
                <w:szCs w:val="16"/>
              </w:rPr>
            </w:pPr>
            <w:r w:rsidRPr="00377641">
              <w:rPr>
                <w:rFonts w:ascii="Arial" w:hAnsi="Arial" w:cs="Arial"/>
                <w:b/>
                <w:sz w:val="16"/>
                <w:szCs w:val="16"/>
              </w:rPr>
              <w:t>Proyectó</w:t>
            </w:r>
          </w:p>
        </w:tc>
        <w:tc>
          <w:tcPr>
            <w:tcW w:w="5480" w:type="dxa"/>
          </w:tcPr>
          <w:p w14:paraId="1C707A2F" w14:textId="77777777" w:rsidR="00F0356B" w:rsidRPr="00377641" w:rsidRDefault="00F0356B" w:rsidP="00F0356B">
            <w:pPr>
              <w:jc w:val="center"/>
              <w:rPr>
                <w:rFonts w:ascii="Arial" w:hAnsi="Arial" w:cs="Arial"/>
                <w:b/>
                <w:sz w:val="16"/>
                <w:szCs w:val="16"/>
              </w:rPr>
            </w:pPr>
            <w:r w:rsidRPr="00377641">
              <w:rPr>
                <w:rFonts w:ascii="Arial" w:hAnsi="Arial" w:cs="Arial"/>
                <w:b/>
                <w:sz w:val="16"/>
                <w:szCs w:val="16"/>
              </w:rPr>
              <w:t>Nombre y cargo</w:t>
            </w:r>
          </w:p>
        </w:tc>
        <w:tc>
          <w:tcPr>
            <w:tcW w:w="1984" w:type="dxa"/>
          </w:tcPr>
          <w:p w14:paraId="220C199E" w14:textId="77777777" w:rsidR="00F0356B" w:rsidRPr="00377641" w:rsidRDefault="00F0356B" w:rsidP="00F0356B">
            <w:pPr>
              <w:jc w:val="center"/>
              <w:rPr>
                <w:rFonts w:ascii="Arial" w:hAnsi="Arial" w:cs="Arial"/>
                <w:b/>
                <w:sz w:val="16"/>
                <w:szCs w:val="16"/>
              </w:rPr>
            </w:pPr>
            <w:r w:rsidRPr="00377641">
              <w:rPr>
                <w:rFonts w:ascii="Arial" w:hAnsi="Arial" w:cs="Arial"/>
                <w:b/>
                <w:sz w:val="16"/>
                <w:szCs w:val="16"/>
              </w:rPr>
              <w:t>Firma</w:t>
            </w:r>
          </w:p>
        </w:tc>
      </w:tr>
      <w:tr w:rsidR="00F0356B" w:rsidRPr="00377641" w14:paraId="03DA7339" w14:textId="77777777" w:rsidTr="00F0356B">
        <w:tc>
          <w:tcPr>
            <w:tcW w:w="1271" w:type="dxa"/>
            <w:vMerge/>
          </w:tcPr>
          <w:p w14:paraId="3300B15A" w14:textId="77777777" w:rsidR="00F0356B" w:rsidRPr="00377641" w:rsidRDefault="00F0356B" w:rsidP="00F0356B">
            <w:pPr>
              <w:rPr>
                <w:rFonts w:ascii="Arial" w:hAnsi="Arial" w:cs="Arial"/>
                <w:b/>
                <w:sz w:val="16"/>
                <w:szCs w:val="16"/>
              </w:rPr>
            </w:pPr>
          </w:p>
        </w:tc>
        <w:tc>
          <w:tcPr>
            <w:tcW w:w="5480" w:type="dxa"/>
          </w:tcPr>
          <w:p w14:paraId="3CA09EE4" w14:textId="48B46648" w:rsidR="00F0356B" w:rsidRPr="00377641" w:rsidRDefault="00F0356B" w:rsidP="00F0356B">
            <w:pPr>
              <w:rPr>
                <w:rFonts w:ascii="Arial" w:hAnsi="Arial" w:cs="Arial"/>
                <w:sz w:val="16"/>
                <w:szCs w:val="16"/>
              </w:rPr>
            </w:pPr>
            <w:r w:rsidRPr="00377641">
              <w:rPr>
                <w:rFonts w:ascii="Arial" w:hAnsi="Arial" w:cs="Arial"/>
                <w:sz w:val="16"/>
                <w:szCs w:val="16"/>
              </w:rPr>
              <w:t>Sara Giraldo Vásquez</w:t>
            </w:r>
            <w:r w:rsidR="00EC766F">
              <w:rPr>
                <w:rFonts w:ascii="Arial" w:hAnsi="Arial" w:cs="Arial"/>
                <w:sz w:val="16"/>
                <w:szCs w:val="16"/>
              </w:rPr>
              <w:t xml:space="preserve">- </w:t>
            </w:r>
            <w:r w:rsidRPr="00377641">
              <w:rPr>
                <w:rFonts w:ascii="Arial" w:hAnsi="Arial" w:cs="Arial"/>
                <w:sz w:val="16"/>
                <w:szCs w:val="16"/>
              </w:rPr>
              <w:t>Abogada Contratista</w:t>
            </w:r>
          </w:p>
        </w:tc>
        <w:tc>
          <w:tcPr>
            <w:tcW w:w="1984" w:type="dxa"/>
          </w:tcPr>
          <w:p w14:paraId="78FC5875" w14:textId="77777777" w:rsidR="00F0356B" w:rsidRPr="00377641" w:rsidRDefault="00F0356B" w:rsidP="00F0356B">
            <w:pPr>
              <w:rPr>
                <w:rFonts w:ascii="Arial" w:hAnsi="Arial" w:cs="Arial"/>
                <w:b/>
                <w:sz w:val="16"/>
                <w:szCs w:val="16"/>
              </w:rPr>
            </w:pPr>
          </w:p>
        </w:tc>
      </w:tr>
      <w:tr w:rsidR="00F0356B" w:rsidRPr="00377641" w14:paraId="72DAD6FD" w14:textId="77777777" w:rsidTr="00F0356B">
        <w:tc>
          <w:tcPr>
            <w:tcW w:w="1271" w:type="dxa"/>
          </w:tcPr>
          <w:p w14:paraId="6E8308C7" w14:textId="77777777" w:rsidR="00F0356B" w:rsidRPr="00377641" w:rsidRDefault="00F0356B" w:rsidP="00F0356B">
            <w:pPr>
              <w:rPr>
                <w:rFonts w:ascii="Arial" w:hAnsi="Arial" w:cs="Arial"/>
                <w:b/>
                <w:sz w:val="16"/>
                <w:szCs w:val="16"/>
              </w:rPr>
            </w:pPr>
            <w:r w:rsidRPr="00377641">
              <w:rPr>
                <w:rFonts w:ascii="Arial" w:hAnsi="Arial" w:cs="Arial"/>
                <w:b/>
                <w:sz w:val="16"/>
                <w:szCs w:val="16"/>
              </w:rPr>
              <w:t>Revisó</w:t>
            </w:r>
          </w:p>
        </w:tc>
        <w:tc>
          <w:tcPr>
            <w:tcW w:w="5480" w:type="dxa"/>
          </w:tcPr>
          <w:p w14:paraId="33F4A78A" w14:textId="3CE3509C" w:rsidR="00F0356B" w:rsidRPr="00377641" w:rsidRDefault="00F0356B" w:rsidP="00EC766F">
            <w:pPr>
              <w:rPr>
                <w:rFonts w:ascii="Arial" w:hAnsi="Arial" w:cs="Arial"/>
                <w:sz w:val="16"/>
                <w:szCs w:val="16"/>
              </w:rPr>
            </w:pPr>
            <w:r w:rsidRPr="00377641">
              <w:rPr>
                <w:rFonts w:ascii="Arial" w:hAnsi="Arial" w:cs="Arial"/>
                <w:sz w:val="16"/>
                <w:szCs w:val="16"/>
              </w:rPr>
              <w:t>William Echavarría Lotero</w:t>
            </w:r>
            <w:r w:rsidR="00EC766F">
              <w:rPr>
                <w:rFonts w:ascii="Arial" w:hAnsi="Arial" w:cs="Arial"/>
                <w:sz w:val="16"/>
                <w:szCs w:val="16"/>
              </w:rPr>
              <w:t xml:space="preserve">- </w:t>
            </w:r>
            <w:r w:rsidR="000659D3">
              <w:rPr>
                <w:rFonts w:ascii="Arial" w:hAnsi="Arial" w:cs="Arial"/>
                <w:sz w:val="16"/>
                <w:szCs w:val="16"/>
              </w:rPr>
              <w:t>jefe de la Dirección</w:t>
            </w:r>
            <w:r w:rsidRPr="00377641">
              <w:rPr>
                <w:rFonts w:ascii="Arial" w:hAnsi="Arial" w:cs="Arial"/>
                <w:sz w:val="16"/>
                <w:szCs w:val="16"/>
              </w:rPr>
              <w:t xml:space="preserve"> de Evaluación y Control</w:t>
            </w:r>
          </w:p>
        </w:tc>
        <w:tc>
          <w:tcPr>
            <w:tcW w:w="1984" w:type="dxa"/>
          </w:tcPr>
          <w:p w14:paraId="4BCC2CAD" w14:textId="77777777" w:rsidR="00F0356B" w:rsidRPr="00377641" w:rsidRDefault="00F0356B" w:rsidP="00F0356B">
            <w:pPr>
              <w:rPr>
                <w:rFonts w:ascii="Arial" w:hAnsi="Arial" w:cs="Arial"/>
                <w:b/>
                <w:sz w:val="16"/>
                <w:szCs w:val="16"/>
              </w:rPr>
            </w:pPr>
          </w:p>
        </w:tc>
      </w:tr>
      <w:tr w:rsidR="00F0356B" w:rsidRPr="00CA1C28" w14:paraId="09CC7747" w14:textId="77777777" w:rsidTr="000659D3">
        <w:trPr>
          <w:trHeight w:val="262"/>
        </w:trPr>
        <w:tc>
          <w:tcPr>
            <w:tcW w:w="1271" w:type="dxa"/>
          </w:tcPr>
          <w:p w14:paraId="5076A890" w14:textId="77777777" w:rsidR="00F0356B" w:rsidRPr="00377641" w:rsidRDefault="00F0356B" w:rsidP="00F0356B">
            <w:pPr>
              <w:rPr>
                <w:rFonts w:ascii="Arial" w:hAnsi="Arial" w:cs="Arial"/>
                <w:b/>
                <w:sz w:val="16"/>
                <w:szCs w:val="16"/>
              </w:rPr>
            </w:pPr>
            <w:r w:rsidRPr="00377641">
              <w:rPr>
                <w:rFonts w:ascii="Arial" w:hAnsi="Arial" w:cs="Arial"/>
                <w:b/>
                <w:sz w:val="16"/>
                <w:szCs w:val="16"/>
              </w:rPr>
              <w:t xml:space="preserve">Aprobó </w:t>
            </w:r>
          </w:p>
        </w:tc>
        <w:tc>
          <w:tcPr>
            <w:tcW w:w="5480" w:type="dxa"/>
          </w:tcPr>
          <w:p w14:paraId="732D7181" w14:textId="2883745C" w:rsidR="00F0356B" w:rsidRPr="00CA1C28" w:rsidRDefault="00F0356B" w:rsidP="00F0356B">
            <w:pPr>
              <w:rPr>
                <w:rFonts w:ascii="Arial" w:hAnsi="Arial" w:cs="Arial"/>
                <w:sz w:val="16"/>
                <w:szCs w:val="16"/>
              </w:rPr>
            </w:pPr>
            <w:r w:rsidRPr="00377641">
              <w:rPr>
                <w:rFonts w:ascii="Arial" w:hAnsi="Arial" w:cs="Arial"/>
                <w:sz w:val="16"/>
                <w:szCs w:val="16"/>
              </w:rPr>
              <w:t>William Echavarría Lotero</w:t>
            </w:r>
            <w:r w:rsidR="00EC766F">
              <w:rPr>
                <w:rFonts w:ascii="Arial" w:hAnsi="Arial" w:cs="Arial"/>
                <w:sz w:val="16"/>
                <w:szCs w:val="16"/>
              </w:rPr>
              <w:t xml:space="preserve">- </w:t>
            </w:r>
            <w:r w:rsidR="000659D3">
              <w:rPr>
                <w:rFonts w:ascii="Arial" w:hAnsi="Arial" w:cs="Arial"/>
                <w:sz w:val="16"/>
                <w:szCs w:val="16"/>
              </w:rPr>
              <w:t xml:space="preserve">jefe de la Dirección </w:t>
            </w:r>
            <w:r w:rsidRPr="00377641">
              <w:rPr>
                <w:rFonts w:ascii="Arial" w:hAnsi="Arial" w:cs="Arial"/>
                <w:sz w:val="16"/>
                <w:szCs w:val="16"/>
              </w:rPr>
              <w:t>de Evaluación y Control</w:t>
            </w:r>
          </w:p>
        </w:tc>
        <w:tc>
          <w:tcPr>
            <w:tcW w:w="1984" w:type="dxa"/>
          </w:tcPr>
          <w:p w14:paraId="31684FDC" w14:textId="77777777" w:rsidR="00F0356B" w:rsidRPr="00CA1C28" w:rsidRDefault="00F0356B" w:rsidP="00F0356B">
            <w:pPr>
              <w:rPr>
                <w:rFonts w:ascii="Arial" w:hAnsi="Arial" w:cs="Arial"/>
                <w:b/>
                <w:sz w:val="16"/>
                <w:szCs w:val="16"/>
              </w:rPr>
            </w:pPr>
          </w:p>
        </w:tc>
      </w:tr>
    </w:tbl>
    <w:p w14:paraId="761A0233" w14:textId="77777777" w:rsidR="00F0356B" w:rsidRPr="00F77A68" w:rsidRDefault="00F0356B" w:rsidP="00F77A68">
      <w:pPr>
        <w:rPr>
          <w:rFonts w:ascii="Arial" w:hAnsi="Arial" w:cs="Arial"/>
          <w:sz w:val="24"/>
          <w:szCs w:val="24"/>
        </w:rPr>
      </w:pPr>
    </w:p>
    <w:sectPr w:rsidR="00F0356B" w:rsidRPr="00F77A68" w:rsidSect="0024232D">
      <w:headerReference w:type="default" r:id="rId11"/>
      <w:footerReference w:type="default" r:id="rId1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1DBF" w14:textId="77777777" w:rsidR="00E92577" w:rsidRDefault="00E92577" w:rsidP="00A40E4F">
      <w:pPr>
        <w:spacing w:after="0" w:line="240" w:lineRule="auto"/>
      </w:pPr>
      <w:r>
        <w:separator/>
      </w:r>
    </w:p>
  </w:endnote>
  <w:endnote w:type="continuationSeparator" w:id="0">
    <w:p w14:paraId="27541542" w14:textId="77777777" w:rsidR="00E92577" w:rsidRDefault="00E92577" w:rsidP="00A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617A11" w:rsidRPr="00A40E4F" w14:paraId="5F472ACA" w14:textId="77777777" w:rsidTr="003F00D3">
      <w:trPr>
        <w:jc w:val="center"/>
      </w:trPr>
      <w:tc>
        <w:tcPr>
          <w:tcW w:w="3652" w:type="dxa"/>
          <w:shd w:val="clear" w:color="auto" w:fill="auto"/>
        </w:tcPr>
        <w:p w14:paraId="6DD71AC0"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702A3BB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1F4116EC" w14:textId="77777777" w:rsidR="00617A11" w:rsidRPr="00A40E4F" w:rsidRDefault="00617A11" w:rsidP="00DF6F9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1F192DEF" w14:textId="77777777" w:rsidR="00617A11" w:rsidRPr="00A40E4F" w:rsidRDefault="00617A11" w:rsidP="00A40E4F">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2403E744"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44CBF37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617A11" w:rsidRPr="00A40E4F" w14:paraId="1ACB094F" w14:textId="77777777" w:rsidTr="003F00D3">
      <w:trPr>
        <w:jc w:val="center"/>
      </w:trPr>
      <w:tc>
        <w:tcPr>
          <w:tcW w:w="3652" w:type="dxa"/>
          <w:shd w:val="clear" w:color="auto" w:fill="auto"/>
        </w:tcPr>
        <w:p w14:paraId="4841611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0F35D9A4" w14:textId="77777777" w:rsidR="00617A11" w:rsidRPr="00A40E4F" w:rsidRDefault="00617A11"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1FEB23D9" w14:textId="77777777" w:rsidR="00617A11" w:rsidRPr="00A40E4F" w:rsidRDefault="00617A11"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7A30EE7E" w14:textId="77777777" w:rsidR="00617A11" w:rsidRDefault="00617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CB56" w14:textId="77777777" w:rsidR="00E92577" w:rsidRDefault="00E92577" w:rsidP="00A40E4F">
      <w:pPr>
        <w:spacing w:after="0" w:line="240" w:lineRule="auto"/>
      </w:pPr>
      <w:r>
        <w:separator/>
      </w:r>
    </w:p>
  </w:footnote>
  <w:footnote w:type="continuationSeparator" w:id="0">
    <w:p w14:paraId="3AC13928" w14:textId="77777777" w:rsidR="00E92577" w:rsidRDefault="00E92577" w:rsidP="00A4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D671" w14:textId="77777777" w:rsidR="00617A11" w:rsidRDefault="00617A11" w:rsidP="00A40E4F">
    <w:pPr>
      <w:pStyle w:val="Encabezado"/>
    </w:pPr>
    <w:r w:rsidRPr="004B2741">
      <w:rPr>
        <w:noProof/>
        <w:lang w:eastAsia="es-CO"/>
      </w:rPr>
      <w:drawing>
        <wp:inline distT="0" distB="0" distL="0" distR="0" wp14:anchorId="1BAE643D" wp14:editId="0C4835AE">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617A11" w:rsidRPr="00A40E4F" w14:paraId="40825979" w14:textId="77777777" w:rsidTr="005A6F12">
      <w:trPr>
        <w:trHeight w:val="416"/>
        <w:jc w:val="center"/>
      </w:trPr>
      <w:tc>
        <w:tcPr>
          <w:tcW w:w="7763" w:type="dxa"/>
          <w:vMerge w:val="restart"/>
          <w:shd w:val="clear" w:color="auto" w:fill="auto"/>
        </w:tcPr>
        <w:p w14:paraId="43B35E34"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5331D0B9" w14:textId="77777777" w:rsidR="00617A11" w:rsidRDefault="00617A11"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39212F43"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491EDFF3"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617A11" w:rsidRPr="00A40E4F" w14:paraId="0E0AD0DE" w14:textId="77777777" w:rsidTr="005A6F12">
      <w:trPr>
        <w:trHeight w:val="425"/>
        <w:jc w:val="center"/>
      </w:trPr>
      <w:tc>
        <w:tcPr>
          <w:tcW w:w="7763" w:type="dxa"/>
          <w:vMerge/>
          <w:shd w:val="clear" w:color="auto" w:fill="auto"/>
        </w:tcPr>
        <w:p w14:paraId="63AF5BE2"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5964E0A4"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617A11" w:rsidRPr="00A40E4F" w14:paraId="77C64004" w14:textId="77777777" w:rsidTr="005A6F12">
      <w:trPr>
        <w:trHeight w:val="417"/>
        <w:jc w:val="center"/>
      </w:trPr>
      <w:tc>
        <w:tcPr>
          <w:tcW w:w="7763" w:type="dxa"/>
          <w:vMerge/>
          <w:shd w:val="clear" w:color="auto" w:fill="auto"/>
        </w:tcPr>
        <w:p w14:paraId="4FFB8D98"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0073DBDC"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3</w:t>
          </w:r>
        </w:p>
      </w:tc>
    </w:tr>
  </w:tbl>
  <w:p w14:paraId="0B92C308" w14:textId="77777777" w:rsidR="00617A11" w:rsidRDefault="00617A11" w:rsidP="00A4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B09"/>
    <w:multiLevelType w:val="hybridMultilevel"/>
    <w:tmpl w:val="5F966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2B03C5"/>
    <w:multiLevelType w:val="hybridMultilevel"/>
    <w:tmpl w:val="9C2E1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134788"/>
    <w:multiLevelType w:val="hybridMultilevel"/>
    <w:tmpl w:val="CD78F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F7ED5"/>
    <w:multiLevelType w:val="hybridMultilevel"/>
    <w:tmpl w:val="204C7AE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755FA"/>
    <w:multiLevelType w:val="multilevel"/>
    <w:tmpl w:val="5DFC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D13FC"/>
    <w:multiLevelType w:val="multilevel"/>
    <w:tmpl w:val="9BF47C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E027FC"/>
    <w:multiLevelType w:val="hybridMultilevel"/>
    <w:tmpl w:val="81423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FB487C"/>
    <w:multiLevelType w:val="hybridMultilevel"/>
    <w:tmpl w:val="1AA6A1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EC5D41"/>
    <w:multiLevelType w:val="hybridMultilevel"/>
    <w:tmpl w:val="B02893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EFD05FA"/>
    <w:multiLevelType w:val="hybridMultilevel"/>
    <w:tmpl w:val="FCF87914"/>
    <w:lvl w:ilvl="0" w:tplc="B39E5B44">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10" w15:restartNumberingAfterBreak="0">
    <w:nsid w:val="23691AF9"/>
    <w:multiLevelType w:val="hybridMultilevel"/>
    <w:tmpl w:val="7B060FF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3F1E45"/>
    <w:multiLevelType w:val="hybridMultilevel"/>
    <w:tmpl w:val="7688B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4F76A2"/>
    <w:multiLevelType w:val="multilevel"/>
    <w:tmpl w:val="D8E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40031"/>
    <w:multiLevelType w:val="hybridMultilevel"/>
    <w:tmpl w:val="29CE2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EE4A4D"/>
    <w:multiLevelType w:val="hybridMultilevel"/>
    <w:tmpl w:val="6C8A4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756028"/>
    <w:multiLevelType w:val="hybridMultilevel"/>
    <w:tmpl w:val="782ED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DE6598"/>
    <w:multiLevelType w:val="hybridMultilevel"/>
    <w:tmpl w:val="9C144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F2639F"/>
    <w:multiLevelType w:val="hybridMultilevel"/>
    <w:tmpl w:val="49549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434295"/>
    <w:multiLevelType w:val="hybridMultilevel"/>
    <w:tmpl w:val="FAA2B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557862"/>
    <w:multiLevelType w:val="hybridMultilevel"/>
    <w:tmpl w:val="2BACC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52678D"/>
    <w:multiLevelType w:val="multilevel"/>
    <w:tmpl w:val="B6CC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95FB2"/>
    <w:multiLevelType w:val="multilevel"/>
    <w:tmpl w:val="FA1A587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8937413"/>
    <w:multiLevelType w:val="hybridMultilevel"/>
    <w:tmpl w:val="3E0CC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DE311A"/>
    <w:multiLevelType w:val="hybridMultilevel"/>
    <w:tmpl w:val="EF3A4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6E4B16"/>
    <w:multiLevelType w:val="hybridMultilevel"/>
    <w:tmpl w:val="5672E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303209"/>
    <w:multiLevelType w:val="multilevel"/>
    <w:tmpl w:val="0770C7E2"/>
    <w:lvl w:ilvl="0">
      <w:start w:val="6"/>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b/>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6" w15:restartNumberingAfterBreak="0">
    <w:nsid w:val="56AF5096"/>
    <w:multiLevelType w:val="multilevel"/>
    <w:tmpl w:val="A8BE18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5A4E237B"/>
    <w:multiLevelType w:val="multilevel"/>
    <w:tmpl w:val="A80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45824"/>
    <w:multiLevelType w:val="multilevel"/>
    <w:tmpl w:val="BFCEF28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F242BE4"/>
    <w:multiLevelType w:val="hybridMultilevel"/>
    <w:tmpl w:val="F0FA6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EC1465"/>
    <w:multiLevelType w:val="multilevel"/>
    <w:tmpl w:val="A64AE54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89272E9"/>
    <w:multiLevelType w:val="hybridMultilevel"/>
    <w:tmpl w:val="079E7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5E7B10"/>
    <w:multiLevelType w:val="hybridMultilevel"/>
    <w:tmpl w:val="45E01CD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3" w15:restartNumberingAfterBreak="0">
    <w:nsid w:val="75311772"/>
    <w:multiLevelType w:val="hybridMultilevel"/>
    <w:tmpl w:val="638EA4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CC6E97"/>
    <w:multiLevelType w:val="hybridMultilevel"/>
    <w:tmpl w:val="A97227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87892043">
    <w:abstractNumId w:val="32"/>
  </w:num>
  <w:num w:numId="2" w16cid:durableId="1846674108">
    <w:abstractNumId w:val="9"/>
  </w:num>
  <w:num w:numId="3" w16cid:durableId="1223448277">
    <w:abstractNumId w:val="3"/>
  </w:num>
  <w:num w:numId="4" w16cid:durableId="2091191264">
    <w:abstractNumId w:val="26"/>
  </w:num>
  <w:num w:numId="5" w16cid:durableId="428351105">
    <w:abstractNumId w:val="29"/>
  </w:num>
  <w:num w:numId="6" w16cid:durableId="470252272">
    <w:abstractNumId w:val="34"/>
  </w:num>
  <w:num w:numId="7" w16cid:durableId="1618485481">
    <w:abstractNumId w:val="14"/>
  </w:num>
  <w:num w:numId="8" w16cid:durableId="1158880947">
    <w:abstractNumId w:val="1"/>
  </w:num>
  <w:num w:numId="9" w16cid:durableId="1884901093">
    <w:abstractNumId w:val="19"/>
  </w:num>
  <w:num w:numId="10" w16cid:durableId="1517573161">
    <w:abstractNumId w:val="13"/>
  </w:num>
  <w:num w:numId="11" w16cid:durableId="1472215815">
    <w:abstractNumId w:val="11"/>
  </w:num>
  <w:num w:numId="12" w16cid:durableId="1291283296">
    <w:abstractNumId w:val="31"/>
  </w:num>
  <w:num w:numId="13" w16cid:durableId="1813674057">
    <w:abstractNumId w:val="16"/>
  </w:num>
  <w:num w:numId="14" w16cid:durableId="1845388867">
    <w:abstractNumId w:val="33"/>
  </w:num>
  <w:num w:numId="15" w16cid:durableId="1033073616">
    <w:abstractNumId w:val="7"/>
  </w:num>
  <w:num w:numId="16" w16cid:durableId="838234549">
    <w:abstractNumId w:val="5"/>
  </w:num>
  <w:num w:numId="17" w16cid:durableId="1097209725">
    <w:abstractNumId w:val="8"/>
  </w:num>
  <w:num w:numId="18" w16cid:durableId="1346249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155937">
    <w:abstractNumId w:val="21"/>
  </w:num>
  <w:num w:numId="20" w16cid:durableId="376513714">
    <w:abstractNumId w:val="25"/>
  </w:num>
  <w:num w:numId="21" w16cid:durableId="199783262">
    <w:abstractNumId w:val="18"/>
  </w:num>
  <w:num w:numId="22" w16cid:durableId="916986966">
    <w:abstractNumId w:val="15"/>
  </w:num>
  <w:num w:numId="23" w16cid:durableId="633296198">
    <w:abstractNumId w:val="0"/>
  </w:num>
  <w:num w:numId="24" w16cid:durableId="1872181605">
    <w:abstractNumId w:val="2"/>
  </w:num>
  <w:num w:numId="25" w16cid:durableId="736367896">
    <w:abstractNumId w:val="23"/>
  </w:num>
  <w:num w:numId="26" w16cid:durableId="308901794">
    <w:abstractNumId w:val="17"/>
  </w:num>
  <w:num w:numId="27" w16cid:durableId="309135692">
    <w:abstractNumId w:val="6"/>
  </w:num>
  <w:num w:numId="28" w16cid:durableId="1825468940">
    <w:abstractNumId w:val="24"/>
  </w:num>
  <w:num w:numId="29" w16cid:durableId="2088722968">
    <w:abstractNumId w:val="28"/>
  </w:num>
  <w:num w:numId="30" w16cid:durableId="981472107">
    <w:abstractNumId w:val="22"/>
  </w:num>
  <w:num w:numId="31" w16cid:durableId="992951618">
    <w:abstractNumId w:val="10"/>
  </w:num>
  <w:num w:numId="32" w16cid:durableId="1358507494">
    <w:abstractNumId w:val="4"/>
  </w:num>
  <w:num w:numId="33" w16cid:durableId="256446865">
    <w:abstractNumId w:val="27"/>
  </w:num>
  <w:num w:numId="34" w16cid:durableId="1590502614">
    <w:abstractNumId w:val="20"/>
  </w:num>
  <w:num w:numId="35" w16cid:durableId="1455057186">
    <w:abstractNumId w:val="12"/>
  </w:num>
  <w:num w:numId="36" w16cid:durableId="11823593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2D"/>
    <w:rsid w:val="000009FF"/>
    <w:rsid w:val="00001895"/>
    <w:rsid w:val="00001B2E"/>
    <w:rsid w:val="00002BBB"/>
    <w:rsid w:val="00004E81"/>
    <w:rsid w:val="00005D97"/>
    <w:rsid w:val="00006FC4"/>
    <w:rsid w:val="00007107"/>
    <w:rsid w:val="00013C19"/>
    <w:rsid w:val="00017F43"/>
    <w:rsid w:val="0002056C"/>
    <w:rsid w:val="00020CD8"/>
    <w:rsid w:val="000215D4"/>
    <w:rsid w:val="0002613E"/>
    <w:rsid w:val="00027E6E"/>
    <w:rsid w:val="00027E77"/>
    <w:rsid w:val="000303B5"/>
    <w:rsid w:val="0003077C"/>
    <w:rsid w:val="0003204E"/>
    <w:rsid w:val="00033A37"/>
    <w:rsid w:val="00033D61"/>
    <w:rsid w:val="00034C97"/>
    <w:rsid w:val="000370D3"/>
    <w:rsid w:val="000405B7"/>
    <w:rsid w:val="00046B9B"/>
    <w:rsid w:val="00046DE8"/>
    <w:rsid w:val="00047839"/>
    <w:rsid w:val="00050284"/>
    <w:rsid w:val="00052344"/>
    <w:rsid w:val="00052EBE"/>
    <w:rsid w:val="00057BBE"/>
    <w:rsid w:val="00060A58"/>
    <w:rsid w:val="000614A3"/>
    <w:rsid w:val="00062769"/>
    <w:rsid w:val="00065236"/>
    <w:rsid w:val="00065781"/>
    <w:rsid w:val="000659D3"/>
    <w:rsid w:val="000661B0"/>
    <w:rsid w:val="00066203"/>
    <w:rsid w:val="0006682A"/>
    <w:rsid w:val="000700AF"/>
    <w:rsid w:val="00070C4B"/>
    <w:rsid w:val="00074804"/>
    <w:rsid w:val="00075655"/>
    <w:rsid w:val="00082444"/>
    <w:rsid w:val="000835E5"/>
    <w:rsid w:val="00084DF0"/>
    <w:rsid w:val="000907A6"/>
    <w:rsid w:val="0009356D"/>
    <w:rsid w:val="00095793"/>
    <w:rsid w:val="000964E7"/>
    <w:rsid w:val="000A2BAE"/>
    <w:rsid w:val="000A49BB"/>
    <w:rsid w:val="000A6F92"/>
    <w:rsid w:val="000A7281"/>
    <w:rsid w:val="000A7A4D"/>
    <w:rsid w:val="000B0601"/>
    <w:rsid w:val="000B1D71"/>
    <w:rsid w:val="000B2FAC"/>
    <w:rsid w:val="000B3B58"/>
    <w:rsid w:val="000B6644"/>
    <w:rsid w:val="000C1E93"/>
    <w:rsid w:val="000C20A7"/>
    <w:rsid w:val="000C3C25"/>
    <w:rsid w:val="000C69B5"/>
    <w:rsid w:val="000D4899"/>
    <w:rsid w:val="000D528E"/>
    <w:rsid w:val="000D6E75"/>
    <w:rsid w:val="000D7FF0"/>
    <w:rsid w:val="000E1CB3"/>
    <w:rsid w:val="000E6B6C"/>
    <w:rsid w:val="000F03E6"/>
    <w:rsid w:val="000F0CD6"/>
    <w:rsid w:val="000F228A"/>
    <w:rsid w:val="000F32BB"/>
    <w:rsid w:val="000F5AC7"/>
    <w:rsid w:val="0010174D"/>
    <w:rsid w:val="00102A4C"/>
    <w:rsid w:val="00111386"/>
    <w:rsid w:val="00112F10"/>
    <w:rsid w:val="00114F85"/>
    <w:rsid w:val="00117107"/>
    <w:rsid w:val="00117AFA"/>
    <w:rsid w:val="0012035F"/>
    <w:rsid w:val="0012206E"/>
    <w:rsid w:val="00124B49"/>
    <w:rsid w:val="0012511D"/>
    <w:rsid w:val="00130198"/>
    <w:rsid w:val="00132546"/>
    <w:rsid w:val="00133176"/>
    <w:rsid w:val="001335FA"/>
    <w:rsid w:val="00136802"/>
    <w:rsid w:val="00142A14"/>
    <w:rsid w:val="00145412"/>
    <w:rsid w:val="00150BFA"/>
    <w:rsid w:val="00152C53"/>
    <w:rsid w:val="00155280"/>
    <w:rsid w:val="00156D66"/>
    <w:rsid w:val="00160B3D"/>
    <w:rsid w:val="00162CA7"/>
    <w:rsid w:val="00167EE0"/>
    <w:rsid w:val="0019245C"/>
    <w:rsid w:val="001928C3"/>
    <w:rsid w:val="00194E75"/>
    <w:rsid w:val="001A0BCE"/>
    <w:rsid w:val="001B450C"/>
    <w:rsid w:val="001B6AB9"/>
    <w:rsid w:val="001B77A8"/>
    <w:rsid w:val="001B7AB6"/>
    <w:rsid w:val="001B7BE6"/>
    <w:rsid w:val="001C0D5D"/>
    <w:rsid w:val="001C4E39"/>
    <w:rsid w:val="001D14BE"/>
    <w:rsid w:val="001D5423"/>
    <w:rsid w:val="001D6153"/>
    <w:rsid w:val="001E087E"/>
    <w:rsid w:val="001E2F9C"/>
    <w:rsid w:val="001E6133"/>
    <w:rsid w:val="001E6725"/>
    <w:rsid w:val="001E6C99"/>
    <w:rsid w:val="001E7CD8"/>
    <w:rsid w:val="001F0D29"/>
    <w:rsid w:val="001F0ED3"/>
    <w:rsid w:val="001F1FF4"/>
    <w:rsid w:val="001F7AFE"/>
    <w:rsid w:val="002000B7"/>
    <w:rsid w:val="0020395B"/>
    <w:rsid w:val="0020489E"/>
    <w:rsid w:val="0021101E"/>
    <w:rsid w:val="002125C8"/>
    <w:rsid w:val="00212989"/>
    <w:rsid w:val="002158CF"/>
    <w:rsid w:val="00224884"/>
    <w:rsid w:val="00225A4E"/>
    <w:rsid w:val="00232207"/>
    <w:rsid w:val="002327D0"/>
    <w:rsid w:val="00232C84"/>
    <w:rsid w:val="00234FB4"/>
    <w:rsid w:val="0024232D"/>
    <w:rsid w:val="00244897"/>
    <w:rsid w:val="002450DB"/>
    <w:rsid w:val="00245353"/>
    <w:rsid w:val="00245920"/>
    <w:rsid w:val="00252364"/>
    <w:rsid w:val="002525FF"/>
    <w:rsid w:val="00254E66"/>
    <w:rsid w:val="00255E3C"/>
    <w:rsid w:val="002567D1"/>
    <w:rsid w:val="00257C02"/>
    <w:rsid w:val="00262303"/>
    <w:rsid w:val="00262E77"/>
    <w:rsid w:val="00265291"/>
    <w:rsid w:val="00266EEB"/>
    <w:rsid w:val="002703CD"/>
    <w:rsid w:val="002747CC"/>
    <w:rsid w:val="00277371"/>
    <w:rsid w:val="002835D2"/>
    <w:rsid w:val="00286D0E"/>
    <w:rsid w:val="002903E1"/>
    <w:rsid w:val="00293BFE"/>
    <w:rsid w:val="00293CDC"/>
    <w:rsid w:val="002966CF"/>
    <w:rsid w:val="002A1C49"/>
    <w:rsid w:val="002A3FC2"/>
    <w:rsid w:val="002A4DF6"/>
    <w:rsid w:val="002B2A6F"/>
    <w:rsid w:val="002B5900"/>
    <w:rsid w:val="002C5352"/>
    <w:rsid w:val="002C674B"/>
    <w:rsid w:val="002C7D0E"/>
    <w:rsid w:val="002D3122"/>
    <w:rsid w:val="002D5FFB"/>
    <w:rsid w:val="002D6197"/>
    <w:rsid w:val="002D69DA"/>
    <w:rsid w:val="002D6A47"/>
    <w:rsid w:val="002E003E"/>
    <w:rsid w:val="002E2886"/>
    <w:rsid w:val="002E4DEB"/>
    <w:rsid w:val="002E5786"/>
    <w:rsid w:val="002F1976"/>
    <w:rsid w:val="002F2262"/>
    <w:rsid w:val="002F23B4"/>
    <w:rsid w:val="002F33EC"/>
    <w:rsid w:val="002F3EEF"/>
    <w:rsid w:val="002F692D"/>
    <w:rsid w:val="003005EF"/>
    <w:rsid w:val="0030604C"/>
    <w:rsid w:val="00307D76"/>
    <w:rsid w:val="003169EE"/>
    <w:rsid w:val="0031742E"/>
    <w:rsid w:val="00317E1B"/>
    <w:rsid w:val="00322A36"/>
    <w:rsid w:val="00326C15"/>
    <w:rsid w:val="00326F58"/>
    <w:rsid w:val="00327AEE"/>
    <w:rsid w:val="003354E7"/>
    <w:rsid w:val="003402EC"/>
    <w:rsid w:val="00342717"/>
    <w:rsid w:val="00350137"/>
    <w:rsid w:val="0035056E"/>
    <w:rsid w:val="00363C2C"/>
    <w:rsid w:val="00367A86"/>
    <w:rsid w:val="003805DD"/>
    <w:rsid w:val="00382214"/>
    <w:rsid w:val="00383266"/>
    <w:rsid w:val="00383848"/>
    <w:rsid w:val="00392BD8"/>
    <w:rsid w:val="00394A12"/>
    <w:rsid w:val="003970A0"/>
    <w:rsid w:val="003A08F2"/>
    <w:rsid w:val="003A1C14"/>
    <w:rsid w:val="003A7AE3"/>
    <w:rsid w:val="003B0B73"/>
    <w:rsid w:val="003B4A99"/>
    <w:rsid w:val="003B5BEB"/>
    <w:rsid w:val="003C02AE"/>
    <w:rsid w:val="003C3FBF"/>
    <w:rsid w:val="003C64E2"/>
    <w:rsid w:val="003C787C"/>
    <w:rsid w:val="003D15E5"/>
    <w:rsid w:val="003D3C0E"/>
    <w:rsid w:val="003D5699"/>
    <w:rsid w:val="003D5C32"/>
    <w:rsid w:val="003D5D0F"/>
    <w:rsid w:val="003D7837"/>
    <w:rsid w:val="003E0F99"/>
    <w:rsid w:val="003E686C"/>
    <w:rsid w:val="003F00D3"/>
    <w:rsid w:val="003F1154"/>
    <w:rsid w:val="003F7D23"/>
    <w:rsid w:val="004010C8"/>
    <w:rsid w:val="00402063"/>
    <w:rsid w:val="00406B04"/>
    <w:rsid w:val="00420AA1"/>
    <w:rsid w:val="00425C6C"/>
    <w:rsid w:val="004301FC"/>
    <w:rsid w:val="00436B7F"/>
    <w:rsid w:val="00440094"/>
    <w:rsid w:val="004437C6"/>
    <w:rsid w:val="004470A0"/>
    <w:rsid w:val="004479C3"/>
    <w:rsid w:val="00447CD1"/>
    <w:rsid w:val="00450C7D"/>
    <w:rsid w:val="004577CD"/>
    <w:rsid w:val="00457A0D"/>
    <w:rsid w:val="00460E01"/>
    <w:rsid w:val="0046336F"/>
    <w:rsid w:val="0047222E"/>
    <w:rsid w:val="004732B7"/>
    <w:rsid w:val="00473E9F"/>
    <w:rsid w:val="00474D09"/>
    <w:rsid w:val="00476FE5"/>
    <w:rsid w:val="004856D8"/>
    <w:rsid w:val="0048658E"/>
    <w:rsid w:val="0048701C"/>
    <w:rsid w:val="004878EB"/>
    <w:rsid w:val="00487AED"/>
    <w:rsid w:val="004912A5"/>
    <w:rsid w:val="004948D6"/>
    <w:rsid w:val="00494F48"/>
    <w:rsid w:val="004952EF"/>
    <w:rsid w:val="0049703B"/>
    <w:rsid w:val="0049748B"/>
    <w:rsid w:val="00497FA6"/>
    <w:rsid w:val="004A0E69"/>
    <w:rsid w:val="004A2952"/>
    <w:rsid w:val="004A7DED"/>
    <w:rsid w:val="004B23AC"/>
    <w:rsid w:val="004B2F35"/>
    <w:rsid w:val="004B3941"/>
    <w:rsid w:val="004B41CB"/>
    <w:rsid w:val="004B44C7"/>
    <w:rsid w:val="004B657F"/>
    <w:rsid w:val="004B7A6B"/>
    <w:rsid w:val="004C112D"/>
    <w:rsid w:val="004C38F4"/>
    <w:rsid w:val="004C3B7C"/>
    <w:rsid w:val="004C4653"/>
    <w:rsid w:val="004C57BD"/>
    <w:rsid w:val="004D5ED1"/>
    <w:rsid w:val="004E18CC"/>
    <w:rsid w:val="004E1D62"/>
    <w:rsid w:val="004E39AC"/>
    <w:rsid w:val="004E760C"/>
    <w:rsid w:val="004E7680"/>
    <w:rsid w:val="004F6B3B"/>
    <w:rsid w:val="004F70CD"/>
    <w:rsid w:val="004F7C70"/>
    <w:rsid w:val="00502254"/>
    <w:rsid w:val="00503309"/>
    <w:rsid w:val="005035D4"/>
    <w:rsid w:val="00512E80"/>
    <w:rsid w:val="0051483F"/>
    <w:rsid w:val="00522293"/>
    <w:rsid w:val="00525B7D"/>
    <w:rsid w:val="00525E10"/>
    <w:rsid w:val="0053046E"/>
    <w:rsid w:val="00531666"/>
    <w:rsid w:val="005316EB"/>
    <w:rsid w:val="0053600C"/>
    <w:rsid w:val="00545D0F"/>
    <w:rsid w:val="005504E0"/>
    <w:rsid w:val="00551749"/>
    <w:rsid w:val="005566B3"/>
    <w:rsid w:val="00557CF9"/>
    <w:rsid w:val="005647A0"/>
    <w:rsid w:val="00570991"/>
    <w:rsid w:val="005733E6"/>
    <w:rsid w:val="00575A5F"/>
    <w:rsid w:val="005772C5"/>
    <w:rsid w:val="00577504"/>
    <w:rsid w:val="00577A42"/>
    <w:rsid w:val="00580F52"/>
    <w:rsid w:val="00583B42"/>
    <w:rsid w:val="005876DC"/>
    <w:rsid w:val="00587C18"/>
    <w:rsid w:val="00597235"/>
    <w:rsid w:val="005A18E3"/>
    <w:rsid w:val="005A21D4"/>
    <w:rsid w:val="005A33CC"/>
    <w:rsid w:val="005A48A7"/>
    <w:rsid w:val="005A6395"/>
    <w:rsid w:val="005A6F12"/>
    <w:rsid w:val="005A7A86"/>
    <w:rsid w:val="005B2BDF"/>
    <w:rsid w:val="005B3D44"/>
    <w:rsid w:val="005B4F46"/>
    <w:rsid w:val="005C2610"/>
    <w:rsid w:val="005C4A26"/>
    <w:rsid w:val="005C65D8"/>
    <w:rsid w:val="005D35D4"/>
    <w:rsid w:val="005D5C2B"/>
    <w:rsid w:val="005D65C6"/>
    <w:rsid w:val="005D78B7"/>
    <w:rsid w:val="005E071F"/>
    <w:rsid w:val="005E561A"/>
    <w:rsid w:val="005E5BA3"/>
    <w:rsid w:val="005E5F79"/>
    <w:rsid w:val="005F0061"/>
    <w:rsid w:val="005F129D"/>
    <w:rsid w:val="005F1817"/>
    <w:rsid w:val="005F4472"/>
    <w:rsid w:val="005F4C0C"/>
    <w:rsid w:val="00610463"/>
    <w:rsid w:val="00610E6E"/>
    <w:rsid w:val="00611FD8"/>
    <w:rsid w:val="0061512D"/>
    <w:rsid w:val="006152CC"/>
    <w:rsid w:val="00617A11"/>
    <w:rsid w:val="00622EAA"/>
    <w:rsid w:val="006237BA"/>
    <w:rsid w:val="00630494"/>
    <w:rsid w:val="00630808"/>
    <w:rsid w:val="00636E88"/>
    <w:rsid w:val="00640EAD"/>
    <w:rsid w:val="00644665"/>
    <w:rsid w:val="006503E9"/>
    <w:rsid w:val="00651A9F"/>
    <w:rsid w:val="00660A38"/>
    <w:rsid w:val="00664F14"/>
    <w:rsid w:val="006652CA"/>
    <w:rsid w:val="006710A2"/>
    <w:rsid w:val="00672FA8"/>
    <w:rsid w:val="0067398D"/>
    <w:rsid w:val="0067488A"/>
    <w:rsid w:val="00675A54"/>
    <w:rsid w:val="006761C6"/>
    <w:rsid w:val="00680863"/>
    <w:rsid w:val="00680A9E"/>
    <w:rsid w:val="00681D30"/>
    <w:rsid w:val="006843F4"/>
    <w:rsid w:val="006914B3"/>
    <w:rsid w:val="00692606"/>
    <w:rsid w:val="0069641B"/>
    <w:rsid w:val="006A0005"/>
    <w:rsid w:val="006A6838"/>
    <w:rsid w:val="006A6899"/>
    <w:rsid w:val="006B591C"/>
    <w:rsid w:val="006B660A"/>
    <w:rsid w:val="006C4AFA"/>
    <w:rsid w:val="006D1B25"/>
    <w:rsid w:val="006D37CF"/>
    <w:rsid w:val="006E0E8E"/>
    <w:rsid w:val="006E358D"/>
    <w:rsid w:val="006F2039"/>
    <w:rsid w:val="006F581E"/>
    <w:rsid w:val="006F7963"/>
    <w:rsid w:val="00700BC8"/>
    <w:rsid w:val="00704C23"/>
    <w:rsid w:val="00705CA4"/>
    <w:rsid w:val="007109B6"/>
    <w:rsid w:val="00715958"/>
    <w:rsid w:val="00715972"/>
    <w:rsid w:val="00716746"/>
    <w:rsid w:val="007203DD"/>
    <w:rsid w:val="007234FD"/>
    <w:rsid w:val="0072484F"/>
    <w:rsid w:val="00724F88"/>
    <w:rsid w:val="00725E78"/>
    <w:rsid w:val="007319F8"/>
    <w:rsid w:val="007342E0"/>
    <w:rsid w:val="007361D9"/>
    <w:rsid w:val="00737611"/>
    <w:rsid w:val="00737DD0"/>
    <w:rsid w:val="00740215"/>
    <w:rsid w:val="007445C5"/>
    <w:rsid w:val="0074596D"/>
    <w:rsid w:val="00754F0F"/>
    <w:rsid w:val="007558CA"/>
    <w:rsid w:val="00756741"/>
    <w:rsid w:val="0076085C"/>
    <w:rsid w:val="0076103E"/>
    <w:rsid w:val="0076109D"/>
    <w:rsid w:val="00763852"/>
    <w:rsid w:val="0076497C"/>
    <w:rsid w:val="007663F7"/>
    <w:rsid w:val="0076723F"/>
    <w:rsid w:val="00771020"/>
    <w:rsid w:val="0077106A"/>
    <w:rsid w:val="00774CB0"/>
    <w:rsid w:val="007754F1"/>
    <w:rsid w:val="00777ABD"/>
    <w:rsid w:val="00781003"/>
    <w:rsid w:val="00781A4A"/>
    <w:rsid w:val="007833EE"/>
    <w:rsid w:val="0078493C"/>
    <w:rsid w:val="00790B46"/>
    <w:rsid w:val="00790D1A"/>
    <w:rsid w:val="00790F49"/>
    <w:rsid w:val="0079415F"/>
    <w:rsid w:val="00797F40"/>
    <w:rsid w:val="007A3AF5"/>
    <w:rsid w:val="007B01CD"/>
    <w:rsid w:val="007B0EE2"/>
    <w:rsid w:val="007B139E"/>
    <w:rsid w:val="007B3F34"/>
    <w:rsid w:val="007B6212"/>
    <w:rsid w:val="007B72A9"/>
    <w:rsid w:val="007D110A"/>
    <w:rsid w:val="007D3119"/>
    <w:rsid w:val="007D3F44"/>
    <w:rsid w:val="007D4909"/>
    <w:rsid w:val="007D61F0"/>
    <w:rsid w:val="007D669C"/>
    <w:rsid w:val="007D7F5A"/>
    <w:rsid w:val="007E044D"/>
    <w:rsid w:val="007E094B"/>
    <w:rsid w:val="007E4AD5"/>
    <w:rsid w:val="007E4DAF"/>
    <w:rsid w:val="007F012C"/>
    <w:rsid w:val="007F089B"/>
    <w:rsid w:val="007F18F4"/>
    <w:rsid w:val="007F5312"/>
    <w:rsid w:val="00800E89"/>
    <w:rsid w:val="0080176F"/>
    <w:rsid w:val="008025FD"/>
    <w:rsid w:val="008039FB"/>
    <w:rsid w:val="008057C7"/>
    <w:rsid w:val="008071F3"/>
    <w:rsid w:val="008123AB"/>
    <w:rsid w:val="0081797C"/>
    <w:rsid w:val="00817B06"/>
    <w:rsid w:val="00820A0F"/>
    <w:rsid w:val="00821C2C"/>
    <w:rsid w:val="008221B5"/>
    <w:rsid w:val="008223DE"/>
    <w:rsid w:val="00822EB8"/>
    <w:rsid w:val="0082418E"/>
    <w:rsid w:val="00824670"/>
    <w:rsid w:val="00824904"/>
    <w:rsid w:val="008312DE"/>
    <w:rsid w:val="00834FDE"/>
    <w:rsid w:val="008368BC"/>
    <w:rsid w:val="00846543"/>
    <w:rsid w:val="00857DF5"/>
    <w:rsid w:val="008610A1"/>
    <w:rsid w:val="00861FF7"/>
    <w:rsid w:val="00862CE5"/>
    <w:rsid w:val="008678EC"/>
    <w:rsid w:val="008678F6"/>
    <w:rsid w:val="00870122"/>
    <w:rsid w:val="00871E0A"/>
    <w:rsid w:val="008743B7"/>
    <w:rsid w:val="00875B24"/>
    <w:rsid w:val="00885D27"/>
    <w:rsid w:val="00891EA7"/>
    <w:rsid w:val="008931B3"/>
    <w:rsid w:val="0089465E"/>
    <w:rsid w:val="00896123"/>
    <w:rsid w:val="008966D8"/>
    <w:rsid w:val="008A0EA6"/>
    <w:rsid w:val="008A2B23"/>
    <w:rsid w:val="008A789E"/>
    <w:rsid w:val="008A7BE9"/>
    <w:rsid w:val="008B5CB8"/>
    <w:rsid w:val="008B61C7"/>
    <w:rsid w:val="008B6515"/>
    <w:rsid w:val="008B7349"/>
    <w:rsid w:val="008C2707"/>
    <w:rsid w:val="008C609E"/>
    <w:rsid w:val="008C6B6B"/>
    <w:rsid w:val="008C72FA"/>
    <w:rsid w:val="008D069A"/>
    <w:rsid w:val="008D1D5C"/>
    <w:rsid w:val="008D489D"/>
    <w:rsid w:val="008D55FF"/>
    <w:rsid w:val="008D5B6A"/>
    <w:rsid w:val="008D668F"/>
    <w:rsid w:val="008D6D01"/>
    <w:rsid w:val="008E2A1C"/>
    <w:rsid w:val="008E6ED5"/>
    <w:rsid w:val="008F136D"/>
    <w:rsid w:val="008F1536"/>
    <w:rsid w:val="008F62BF"/>
    <w:rsid w:val="008F72EA"/>
    <w:rsid w:val="009014CD"/>
    <w:rsid w:val="00901596"/>
    <w:rsid w:val="0090168C"/>
    <w:rsid w:val="0091130E"/>
    <w:rsid w:val="00914F76"/>
    <w:rsid w:val="009207B5"/>
    <w:rsid w:val="009215E0"/>
    <w:rsid w:val="009268BB"/>
    <w:rsid w:val="009268E4"/>
    <w:rsid w:val="00926C27"/>
    <w:rsid w:val="0093079B"/>
    <w:rsid w:val="00931246"/>
    <w:rsid w:val="00932207"/>
    <w:rsid w:val="00937267"/>
    <w:rsid w:val="009400DE"/>
    <w:rsid w:val="00941CCE"/>
    <w:rsid w:val="00950289"/>
    <w:rsid w:val="00950403"/>
    <w:rsid w:val="0095597E"/>
    <w:rsid w:val="009569BC"/>
    <w:rsid w:val="00960233"/>
    <w:rsid w:val="00962B10"/>
    <w:rsid w:val="009711D3"/>
    <w:rsid w:val="009740B5"/>
    <w:rsid w:val="009744D5"/>
    <w:rsid w:val="0098011C"/>
    <w:rsid w:val="009804F5"/>
    <w:rsid w:val="00980DA9"/>
    <w:rsid w:val="0098310B"/>
    <w:rsid w:val="009852DC"/>
    <w:rsid w:val="00987739"/>
    <w:rsid w:val="009916D3"/>
    <w:rsid w:val="009A17DE"/>
    <w:rsid w:val="009A2548"/>
    <w:rsid w:val="009A376D"/>
    <w:rsid w:val="009A42BF"/>
    <w:rsid w:val="009A450D"/>
    <w:rsid w:val="009A5039"/>
    <w:rsid w:val="009A6CCF"/>
    <w:rsid w:val="009B0344"/>
    <w:rsid w:val="009B22FE"/>
    <w:rsid w:val="009B3C97"/>
    <w:rsid w:val="009B6BD2"/>
    <w:rsid w:val="009C4757"/>
    <w:rsid w:val="009D1E66"/>
    <w:rsid w:val="009D2099"/>
    <w:rsid w:val="009D2650"/>
    <w:rsid w:val="009E1206"/>
    <w:rsid w:val="009E1593"/>
    <w:rsid w:val="009E216C"/>
    <w:rsid w:val="009E21CA"/>
    <w:rsid w:val="009E2804"/>
    <w:rsid w:val="009E2EAF"/>
    <w:rsid w:val="009E5958"/>
    <w:rsid w:val="009E68EA"/>
    <w:rsid w:val="009F5EF1"/>
    <w:rsid w:val="009F5FD8"/>
    <w:rsid w:val="009F7F7E"/>
    <w:rsid w:val="00A03D26"/>
    <w:rsid w:val="00A066DF"/>
    <w:rsid w:val="00A06BB2"/>
    <w:rsid w:val="00A10654"/>
    <w:rsid w:val="00A109D7"/>
    <w:rsid w:val="00A112BC"/>
    <w:rsid w:val="00A1223D"/>
    <w:rsid w:val="00A20E37"/>
    <w:rsid w:val="00A26FFB"/>
    <w:rsid w:val="00A31E53"/>
    <w:rsid w:val="00A330D5"/>
    <w:rsid w:val="00A33A57"/>
    <w:rsid w:val="00A341CD"/>
    <w:rsid w:val="00A40313"/>
    <w:rsid w:val="00A40E4F"/>
    <w:rsid w:val="00A41CA4"/>
    <w:rsid w:val="00A41CCB"/>
    <w:rsid w:val="00A42A99"/>
    <w:rsid w:val="00A4482F"/>
    <w:rsid w:val="00A45B49"/>
    <w:rsid w:val="00A47094"/>
    <w:rsid w:val="00A479FA"/>
    <w:rsid w:val="00A540AC"/>
    <w:rsid w:val="00A61D71"/>
    <w:rsid w:val="00A63830"/>
    <w:rsid w:val="00A6406E"/>
    <w:rsid w:val="00A702DE"/>
    <w:rsid w:val="00A73A4E"/>
    <w:rsid w:val="00A75D78"/>
    <w:rsid w:val="00A776BF"/>
    <w:rsid w:val="00A81044"/>
    <w:rsid w:val="00A833F3"/>
    <w:rsid w:val="00A83789"/>
    <w:rsid w:val="00A84514"/>
    <w:rsid w:val="00A85C05"/>
    <w:rsid w:val="00A90512"/>
    <w:rsid w:val="00A941E6"/>
    <w:rsid w:val="00AA0100"/>
    <w:rsid w:val="00AA1FE7"/>
    <w:rsid w:val="00AA29D6"/>
    <w:rsid w:val="00AA3E0A"/>
    <w:rsid w:val="00AA4D86"/>
    <w:rsid w:val="00AA4F53"/>
    <w:rsid w:val="00AB28DB"/>
    <w:rsid w:val="00AB5E21"/>
    <w:rsid w:val="00AB6722"/>
    <w:rsid w:val="00AB7019"/>
    <w:rsid w:val="00AD0F48"/>
    <w:rsid w:val="00AD2361"/>
    <w:rsid w:val="00AD4D72"/>
    <w:rsid w:val="00AD57BB"/>
    <w:rsid w:val="00AE0A32"/>
    <w:rsid w:val="00AE59BE"/>
    <w:rsid w:val="00AE5EF7"/>
    <w:rsid w:val="00AE7513"/>
    <w:rsid w:val="00AE76AF"/>
    <w:rsid w:val="00AE79F1"/>
    <w:rsid w:val="00AF11E1"/>
    <w:rsid w:val="00AF7B3C"/>
    <w:rsid w:val="00B006C0"/>
    <w:rsid w:val="00B01D0A"/>
    <w:rsid w:val="00B020B6"/>
    <w:rsid w:val="00B040C0"/>
    <w:rsid w:val="00B04671"/>
    <w:rsid w:val="00B10B9B"/>
    <w:rsid w:val="00B11CFA"/>
    <w:rsid w:val="00B1698D"/>
    <w:rsid w:val="00B22CE0"/>
    <w:rsid w:val="00B22E08"/>
    <w:rsid w:val="00B24785"/>
    <w:rsid w:val="00B24C72"/>
    <w:rsid w:val="00B2522E"/>
    <w:rsid w:val="00B26564"/>
    <w:rsid w:val="00B2744C"/>
    <w:rsid w:val="00B30722"/>
    <w:rsid w:val="00B32FCE"/>
    <w:rsid w:val="00B3490F"/>
    <w:rsid w:val="00B37F8F"/>
    <w:rsid w:val="00B41E03"/>
    <w:rsid w:val="00B50C79"/>
    <w:rsid w:val="00B5264D"/>
    <w:rsid w:val="00B548FD"/>
    <w:rsid w:val="00B54A9D"/>
    <w:rsid w:val="00B565D4"/>
    <w:rsid w:val="00B62002"/>
    <w:rsid w:val="00B623AD"/>
    <w:rsid w:val="00B63D80"/>
    <w:rsid w:val="00B64FE7"/>
    <w:rsid w:val="00B6592D"/>
    <w:rsid w:val="00B679AD"/>
    <w:rsid w:val="00B7343F"/>
    <w:rsid w:val="00B7500D"/>
    <w:rsid w:val="00B7527A"/>
    <w:rsid w:val="00B77ED2"/>
    <w:rsid w:val="00B80EA7"/>
    <w:rsid w:val="00B82818"/>
    <w:rsid w:val="00B830BC"/>
    <w:rsid w:val="00B851F3"/>
    <w:rsid w:val="00B903D4"/>
    <w:rsid w:val="00B91463"/>
    <w:rsid w:val="00B914F8"/>
    <w:rsid w:val="00B925FB"/>
    <w:rsid w:val="00B95CC0"/>
    <w:rsid w:val="00BA3FDD"/>
    <w:rsid w:val="00BA6108"/>
    <w:rsid w:val="00BA730E"/>
    <w:rsid w:val="00BB1059"/>
    <w:rsid w:val="00BB2B01"/>
    <w:rsid w:val="00BB4B27"/>
    <w:rsid w:val="00BB72C3"/>
    <w:rsid w:val="00BC558F"/>
    <w:rsid w:val="00BC5EE8"/>
    <w:rsid w:val="00BC6892"/>
    <w:rsid w:val="00BC71DD"/>
    <w:rsid w:val="00BC7733"/>
    <w:rsid w:val="00BD014A"/>
    <w:rsid w:val="00BD07D6"/>
    <w:rsid w:val="00BD2FDF"/>
    <w:rsid w:val="00BD6EC2"/>
    <w:rsid w:val="00BD7B6D"/>
    <w:rsid w:val="00BE356F"/>
    <w:rsid w:val="00BE572C"/>
    <w:rsid w:val="00BE68EE"/>
    <w:rsid w:val="00BE7287"/>
    <w:rsid w:val="00BE7F9C"/>
    <w:rsid w:val="00BF3248"/>
    <w:rsid w:val="00BF55E1"/>
    <w:rsid w:val="00C00995"/>
    <w:rsid w:val="00C00CB1"/>
    <w:rsid w:val="00C0300E"/>
    <w:rsid w:val="00C048EC"/>
    <w:rsid w:val="00C04D69"/>
    <w:rsid w:val="00C11645"/>
    <w:rsid w:val="00C14B9C"/>
    <w:rsid w:val="00C14BF8"/>
    <w:rsid w:val="00C14C4F"/>
    <w:rsid w:val="00C17574"/>
    <w:rsid w:val="00C17957"/>
    <w:rsid w:val="00C213A9"/>
    <w:rsid w:val="00C2148E"/>
    <w:rsid w:val="00C21B47"/>
    <w:rsid w:val="00C24262"/>
    <w:rsid w:val="00C25F75"/>
    <w:rsid w:val="00C26392"/>
    <w:rsid w:val="00C26668"/>
    <w:rsid w:val="00C277CE"/>
    <w:rsid w:val="00C34D7A"/>
    <w:rsid w:val="00C360A6"/>
    <w:rsid w:val="00C420C6"/>
    <w:rsid w:val="00C427B9"/>
    <w:rsid w:val="00C50CB7"/>
    <w:rsid w:val="00C53B72"/>
    <w:rsid w:val="00C54CDB"/>
    <w:rsid w:val="00C54F6C"/>
    <w:rsid w:val="00C561D6"/>
    <w:rsid w:val="00C602DB"/>
    <w:rsid w:val="00C63DFE"/>
    <w:rsid w:val="00C7684E"/>
    <w:rsid w:val="00C76F09"/>
    <w:rsid w:val="00C77ABB"/>
    <w:rsid w:val="00C81285"/>
    <w:rsid w:val="00C81DC6"/>
    <w:rsid w:val="00C82BFD"/>
    <w:rsid w:val="00C8302B"/>
    <w:rsid w:val="00C842A4"/>
    <w:rsid w:val="00C8765F"/>
    <w:rsid w:val="00C91EFE"/>
    <w:rsid w:val="00C92A5D"/>
    <w:rsid w:val="00C96D38"/>
    <w:rsid w:val="00CA0D4C"/>
    <w:rsid w:val="00CA1221"/>
    <w:rsid w:val="00CA16B4"/>
    <w:rsid w:val="00CA4049"/>
    <w:rsid w:val="00CA634C"/>
    <w:rsid w:val="00CA6D47"/>
    <w:rsid w:val="00CB019B"/>
    <w:rsid w:val="00CB0DD6"/>
    <w:rsid w:val="00CB0EA9"/>
    <w:rsid w:val="00CB1307"/>
    <w:rsid w:val="00CB275D"/>
    <w:rsid w:val="00CB27B3"/>
    <w:rsid w:val="00CB5B6D"/>
    <w:rsid w:val="00CB6183"/>
    <w:rsid w:val="00CC019F"/>
    <w:rsid w:val="00CC73C7"/>
    <w:rsid w:val="00CC7A3D"/>
    <w:rsid w:val="00CD24D9"/>
    <w:rsid w:val="00CD38F5"/>
    <w:rsid w:val="00CD444B"/>
    <w:rsid w:val="00CD7603"/>
    <w:rsid w:val="00CE0402"/>
    <w:rsid w:val="00CE10F6"/>
    <w:rsid w:val="00CF24DA"/>
    <w:rsid w:val="00CF2A69"/>
    <w:rsid w:val="00CF3707"/>
    <w:rsid w:val="00CF53F8"/>
    <w:rsid w:val="00D0015B"/>
    <w:rsid w:val="00D012B7"/>
    <w:rsid w:val="00D01E6C"/>
    <w:rsid w:val="00D0581E"/>
    <w:rsid w:val="00D06965"/>
    <w:rsid w:val="00D12E7F"/>
    <w:rsid w:val="00D2082B"/>
    <w:rsid w:val="00D2152B"/>
    <w:rsid w:val="00D2621A"/>
    <w:rsid w:val="00D2621B"/>
    <w:rsid w:val="00D264BF"/>
    <w:rsid w:val="00D27397"/>
    <w:rsid w:val="00D2744F"/>
    <w:rsid w:val="00D30F2D"/>
    <w:rsid w:val="00D32EC7"/>
    <w:rsid w:val="00D33346"/>
    <w:rsid w:val="00D33435"/>
    <w:rsid w:val="00D37B11"/>
    <w:rsid w:val="00D417F0"/>
    <w:rsid w:val="00D6294D"/>
    <w:rsid w:val="00D65C40"/>
    <w:rsid w:val="00D66916"/>
    <w:rsid w:val="00D67D29"/>
    <w:rsid w:val="00D70AE3"/>
    <w:rsid w:val="00D73679"/>
    <w:rsid w:val="00D74F79"/>
    <w:rsid w:val="00D7649B"/>
    <w:rsid w:val="00D81B3B"/>
    <w:rsid w:val="00D845C4"/>
    <w:rsid w:val="00D85160"/>
    <w:rsid w:val="00D86208"/>
    <w:rsid w:val="00D8653C"/>
    <w:rsid w:val="00D86FC2"/>
    <w:rsid w:val="00D86FDE"/>
    <w:rsid w:val="00D93423"/>
    <w:rsid w:val="00D93E82"/>
    <w:rsid w:val="00D93EDC"/>
    <w:rsid w:val="00D953BF"/>
    <w:rsid w:val="00D95D9C"/>
    <w:rsid w:val="00DA5210"/>
    <w:rsid w:val="00DB2D9E"/>
    <w:rsid w:val="00DB3C73"/>
    <w:rsid w:val="00DB41E6"/>
    <w:rsid w:val="00DB6ADB"/>
    <w:rsid w:val="00DC0A5E"/>
    <w:rsid w:val="00DC72A8"/>
    <w:rsid w:val="00DD1AC2"/>
    <w:rsid w:val="00DD1F02"/>
    <w:rsid w:val="00DD3BFF"/>
    <w:rsid w:val="00DE143B"/>
    <w:rsid w:val="00DE2B0D"/>
    <w:rsid w:val="00DF229A"/>
    <w:rsid w:val="00DF4EAE"/>
    <w:rsid w:val="00DF6F96"/>
    <w:rsid w:val="00DF7DC9"/>
    <w:rsid w:val="00E02F0E"/>
    <w:rsid w:val="00E05122"/>
    <w:rsid w:val="00E060BD"/>
    <w:rsid w:val="00E13952"/>
    <w:rsid w:val="00E15F62"/>
    <w:rsid w:val="00E16061"/>
    <w:rsid w:val="00E211B7"/>
    <w:rsid w:val="00E214D5"/>
    <w:rsid w:val="00E21F24"/>
    <w:rsid w:val="00E221FF"/>
    <w:rsid w:val="00E23020"/>
    <w:rsid w:val="00E27537"/>
    <w:rsid w:val="00E31A02"/>
    <w:rsid w:val="00E471E3"/>
    <w:rsid w:val="00E5508F"/>
    <w:rsid w:val="00E633E0"/>
    <w:rsid w:val="00E71470"/>
    <w:rsid w:val="00E74004"/>
    <w:rsid w:val="00E75063"/>
    <w:rsid w:val="00E7555E"/>
    <w:rsid w:val="00E7639E"/>
    <w:rsid w:val="00E83BAE"/>
    <w:rsid w:val="00E85651"/>
    <w:rsid w:val="00E8791A"/>
    <w:rsid w:val="00E92577"/>
    <w:rsid w:val="00EB323C"/>
    <w:rsid w:val="00EB632E"/>
    <w:rsid w:val="00EB69DF"/>
    <w:rsid w:val="00EB6CE7"/>
    <w:rsid w:val="00EB6EB9"/>
    <w:rsid w:val="00EC12A6"/>
    <w:rsid w:val="00EC4323"/>
    <w:rsid w:val="00EC5E46"/>
    <w:rsid w:val="00EC61F2"/>
    <w:rsid w:val="00EC766F"/>
    <w:rsid w:val="00ED2245"/>
    <w:rsid w:val="00ED238F"/>
    <w:rsid w:val="00ED2E74"/>
    <w:rsid w:val="00ED7B4C"/>
    <w:rsid w:val="00EE02A3"/>
    <w:rsid w:val="00EE1CB3"/>
    <w:rsid w:val="00EE27CD"/>
    <w:rsid w:val="00EE744A"/>
    <w:rsid w:val="00EF0471"/>
    <w:rsid w:val="00EF06DB"/>
    <w:rsid w:val="00EF2E5A"/>
    <w:rsid w:val="00EF41EA"/>
    <w:rsid w:val="00EF68C8"/>
    <w:rsid w:val="00F0102D"/>
    <w:rsid w:val="00F0356B"/>
    <w:rsid w:val="00F03803"/>
    <w:rsid w:val="00F075A4"/>
    <w:rsid w:val="00F102B8"/>
    <w:rsid w:val="00F1054A"/>
    <w:rsid w:val="00F110DB"/>
    <w:rsid w:val="00F113A6"/>
    <w:rsid w:val="00F118CF"/>
    <w:rsid w:val="00F13B1A"/>
    <w:rsid w:val="00F14215"/>
    <w:rsid w:val="00F1649F"/>
    <w:rsid w:val="00F20007"/>
    <w:rsid w:val="00F24ABC"/>
    <w:rsid w:val="00F26EAB"/>
    <w:rsid w:val="00F32DBB"/>
    <w:rsid w:val="00F34CAF"/>
    <w:rsid w:val="00F52532"/>
    <w:rsid w:val="00F54E9C"/>
    <w:rsid w:val="00F569FE"/>
    <w:rsid w:val="00F57A99"/>
    <w:rsid w:val="00F630B4"/>
    <w:rsid w:val="00F65B2C"/>
    <w:rsid w:val="00F71F0B"/>
    <w:rsid w:val="00F76D82"/>
    <w:rsid w:val="00F77A68"/>
    <w:rsid w:val="00F80639"/>
    <w:rsid w:val="00F84BE0"/>
    <w:rsid w:val="00F85480"/>
    <w:rsid w:val="00F902BB"/>
    <w:rsid w:val="00F91321"/>
    <w:rsid w:val="00F94667"/>
    <w:rsid w:val="00F95459"/>
    <w:rsid w:val="00F972ED"/>
    <w:rsid w:val="00FA0BB4"/>
    <w:rsid w:val="00FA0D7D"/>
    <w:rsid w:val="00FA64B1"/>
    <w:rsid w:val="00FA785B"/>
    <w:rsid w:val="00FA7D3C"/>
    <w:rsid w:val="00FB47D4"/>
    <w:rsid w:val="00FC25AC"/>
    <w:rsid w:val="00FC45DE"/>
    <w:rsid w:val="00FC5402"/>
    <w:rsid w:val="00FC56C8"/>
    <w:rsid w:val="00FC6C04"/>
    <w:rsid w:val="00FD145F"/>
    <w:rsid w:val="00FD14AB"/>
    <w:rsid w:val="00FD1ACE"/>
    <w:rsid w:val="00FD21D1"/>
    <w:rsid w:val="00FD4256"/>
    <w:rsid w:val="00FD515B"/>
    <w:rsid w:val="00FE5717"/>
    <w:rsid w:val="00FE6486"/>
    <w:rsid w:val="00FF2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E9434"/>
  <w15:chartTrackingRefBased/>
  <w15:docId w15:val="{B38AF0D4-158D-4DA4-B938-1E0A113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1F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77A68"/>
    <w:pPr>
      <w:ind w:left="720"/>
      <w:contextualSpacing/>
    </w:pPr>
  </w:style>
  <w:style w:type="table" w:styleId="Tablaconcuadrcula">
    <w:name w:val="Table Grid"/>
    <w:basedOn w:val="Tablanormal"/>
    <w:uiPriority w:val="39"/>
    <w:rsid w:val="0043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4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F53"/>
    <w:rPr>
      <w:rFonts w:ascii="Segoe UI" w:hAnsi="Segoe UI" w:cs="Segoe UI"/>
      <w:sz w:val="18"/>
      <w:szCs w:val="18"/>
    </w:rPr>
  </w:style>
  <w:style w:type="paragraph" w:styleId="Encabezado">
    <w:name w:val="header"/>
    <w:basedOn w:val="Normal"/>
    <w:link w:val="EncabezadoCar"/>
    <w:uiPriority w:val="99"/>
    <w:unhideWhenUsed/>
    <w:rsid w:val="00A40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E4F"/>
  </w:style>
  <w:style w:type="paragraph" w:styleId="Piedepgina">
    <w:name w:val="footer"/>
    <w:basedOn w:val="Normal"/>
    <w:link w:val="PiedepginaCar"/>
    <w:uiPriority w:val="99"/>
    <w:unhideWhenUsed/>
    <w:rsid w:val="00A40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E4F"/>
  </w:style>
  <w:style w:type="table" w:customStyle="1" w:styleId="Tablaconcuadrcula1">
    <w:name w:val="Tabla con cuadrícula1"/>
    <w:basedOn w:val="Tablanormal"/>
    <w:next w:val="Tablaconcuadrcula"/>
    <w:uiPriority w:val="39"/>
    <w:rsid w:val="0006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35F"/>
    <w:pPr>
      <w:widowControl w:val="0"/>
      <w:spacing w:after="0" w:line="240" w:lineRule="auto"/>
    </w:pPr>
    <w:rPr>
      <w:lang w:val="en-US"/>
    </w:rPr>
  </w:style>
  <w:style w:type="table" w:customStyle="1" w:styleId="TableNormal">
    <w:name w:val="Table Normal"/>
    <w:uiPriority w:val="2"/>
    <w:semiHidden/>
    <w:unhideWhenUsed/>
    <w:qFormat/>
    <w:rsid w:val="001203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2035F"/>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12035F"/>
    <w:rPr>
      <w:rFonts w:ascii="Arial" w:eastAsia="Arial" w:hAnsi="Arial" w:cs="Arial"/>
      <w:lang w:val="es-ES" w:eastAsia="es-ES" w:bidi="es-ES"/>
    </w:rPr>
  </w:style>
  <w:style w:type="character" w:styleId="Textoennegrita">
    <w:name w:val="Strong"/>
    <w:basedOn w:val="Fuentedeprrafopredeter"/>
    <w:uiPriority w:val="22"/>
    <w:qFormat/>
    <w:rsid w:val="0012035F"/>
    <w:rPr>
      <w:b/>
      <w:bCs/>
    </w:rPr>
  </w:style>
  <w:style w:type="paragraph" w:styleId="Sinespaciado">
    <w:name w:val="No Spacing"/>
    <w:uiPriority w:val="1"/>
    <w:qFormat/>
    <w:rsid w:val="0012035F"/>
    <w:pPr>
      <w:spacing w:after="0" w:line="240" w:lineRule="auto"/>
    </w:pPr>
  </w:style>
  <w:style w:type="character" w:styleId="Refdecomentario">
    <w:name w:val="annotation reference"/>
    <w:basedOn w:val="Fuentedeprrafopredeter"/>
    <w:uiPriority w:val="99"/>
    <w:semiHidden/>
    <w:unhideWhenUsed/>
    <w:rsid w:val="003C64E2"/>
    <w:rPr>
      <w:sz w:val="16"/>
      <w:szCs w:val="16"/>
    </w:rPr>
  </w:style>
  <w:style w:type="paragraph" w:styleId="Textocomentario">
    <w:name w:val="annotation text"/>
    <w:basedOn w:val="Normal"/>
    <w:link w:val="TextocomentarioCar"/>
    <w:uiPriority w:val="99"/>
    <w:semiHidden/>
    <w:unhideWhenUsed/>
    <w:rsid w:val="003C64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64E2"/>
    <w:rPr>
      <w:sz w:val="20"/>
      <w:szCs w:val="20"/>
    </w:rPr>
  </w:style>
  <w:style w:type="paragraph" w:styleId="Asuntodelcomentario">
    <w:name w:val="annotation subject"/>
    <w:basedOn w:val="Textocomentario"/>
    <w:next w:val="Textocomentario"/>
    <w:link w:val="AsuntodelcomentarioCar"/>
    <w:uiPriority w:val="99"/>
    <w:semiHidden/>
    <w:unhideWhenUsed/>
    <w:rsid w:val="003C64E2"/>
    <w:rPr>
      <w:b/>
      <w:bCs/>
    </w:rPr>
  </w:style>
  <w:style w:type="character" w:customStyle="1" w:styleId="AsuntodelcomentarioCar">
    <w:name w:val="Asunto del comentario Car"/>
    <w:basedOn w:val="TextocomentarioCar"/>
    <w:link w:val="Asuntodelcomentario"/>
    <w:uiPriority w:val="99"/>
    <w:semiHidden/>
    <w:rsid w:val="003C64E2"/>
    <w:rPr>
      <w:b/>
      <w:bCs/>
      <w:sz w:val="20"/>
      <w:szCs w:val="20"/>
    </w:rPr>
  </w:style>
  <w:style w:type="character" w:styleId="Hipervnculo">
    <w:name w:val="Hyperlink"/>
    <w:basedOn w:val="Fuentedeprrafopredeter"/>
    <w:uiPriority w:val="99"/>
    <w:unhideWhenUsed/>
    <w:rsid w:val="002C7D0E"/>
    <w:rPr>
      <w:color w:val="0563C1" w:themeColor="hyperlink"/>
      <w:u w:val="single"/>
    </w:rPr>
  </w:style>
  <w:style w:type="character" w:styleId="Mencinsinresolver">
    <w:name w:val="Unresolved Mention"/>
    <w:basedOn w:val="Fuentedeprrafopredeter"/>
    <w:uiPriority w:val="99"/>
    <w:semiHidden/>
    <w:unhideWhenUsed/>
    <w:rsid w:val="002C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76">
      <w:bodyDiv w:val="1"/>
      <w:marLeft w:val="0"/>
      <w:marRight w:val="0"/>
      <w:marTop w:val="0"/>
      <w:marBottom w:val="0"/>
      <w:divBdr>
        <w:top w:val="none" w:sz="0" w:space="0" w:color="auto"/>
        <w:left w:val="none" w:sz="0" w:space="0" w:color="auto"/>
        <w:bottom w:val="none" w:sz="0" w:space="0" w:color="auto"/>
        <w:right w:val="none" w:sz="0" w:space="0" w:color="auto"/>
      </w:divBdr>
    </w:div>
    <w:div w:id="70203526">
      <w:bodyDiv w:val="1"/>
      <w:marLeft w:val="0"/>
      <w:marRight w:val="0"/>
      <w:marTop w:val="0"/>
      <w:marBottom w:val="0"/>
      <w:divBdr>
        <w:top w:val="none" w:sz="0" w:space="0" w:color="auto"/>
        <w:left w:val="none" w:sz="0" w:space="0" w:color="auto"/>
        <w:bottom w:val="none" w:sz="0" w:space="0" w:color="auto"/>
        <w:right w:val="none" w:sz="0" w:space="0" w:color="auto"/>
      </w:divBdr>
    </w:div>
    <w:div w:id="123356504">
      <w:bodyDiv w:val="1"/>
      <w:marLeft w:val="0"/>
      <w:marRight w:val="0"/>
      <w:marTop w:val="0"/>
      <w:marBottom w:val="0"/>
      <w:divBdr>
        <w:top w:val="none" w:sz="0" w:space="0" w:color="auto"/>
        <w:left w:val="none" w:sz="0" w:space="0" w:color="auto"/>
        <w:bottom w:val="none" w:sz="0" w:space="0" w:color="auto"/>
        <w:right w:val="none" w:sz="0" w:space="0" w:color="auto"/>
      </w:divBdr>
    </w:div>
    <w:div w:id="247349686">
      <w:bodyDiv w:val="1"/>
      <w:marLeft w:val="0"/>
      <w:marRight w:val="0"/>
      <w:marTop w:val="0"/>
      <w:marBottom w:val="0"/>
      <w:divBdr>
        <w:top w:val="none" w:sz="0" w:space="0" w:color="auto"/>
        <w:left w:val="none" w:sz="0" w:space="0" w:color="auto"/>
        <w:bottom w:val="none" w:sz="0" w:space="0" w:color="auto"/>
        <w:right w:val="none" w:sz="0" w:space="0" w:color="auto"/>
      </w:divBdr>
    </w:div>
    <w:div w:id="529337041">
      <w:bodyDiv w:val="1"/>
      <w:marLeft w:val="0"/>
      <w:marRight w:val="0"/>
      <w:marTop w:val="0"/>
      <w:marBottom w:val="0"/>
      <w:divBdr>
        <w:top w:val="none" w:sz="0" w:space="0" w:color="auto"/>
        <w:left w:val="none" w:sz="0" w:space="0" w:color="auto"/>
        <w:bottom w:val="none" w:sz="0" w:space="0" w:color="auto"/>
        <w:right w:val="none" w:sz="0" w:space="0" w:color="auto"/>
      </w:divBdr>
    </w:div>
    <w:div w:id="634914804">
      <w:bodyDiv w:val="1"/>
      <w:marLeft w:val="0"/>
      <w:marRight w:val="0"/>
      <w:marTop w:val="0"/>
      <w:marBottom w:val="0"/>
      <w:divBdr>
        <w:top w:val="none" w:sz="0" w:space="0" w:color="auto"/>
        <w:left w:val="none" w:sz="0" w:space="0" w:color="auto"/>
        <w:bottom w:val="none" w:sz="0" w:space="0" w:color="auto"/>
        <w:right w:val="none" w:sz="0" w:space="0" w:color="auto"/>
      </w:divBdr>
    </w:div>
    <w:div w:id="699941111">
      <w:bodyDiv w:val="1"/>
      <w:marLeft w:val="0"/>
      <w:marRight w:val="0"/>
      <w:marTop w:val="0"/>
      <w:marBottom w:val="0"/>
      <w:divBdr>
        <w:top w:val="none" w:sz="0" w:space="0" w:color="auto"/>
        <w:left w:val="none" w:sz="0" w:space="0" w:color="auto"/>
        <w:bottom w:val="none" w:sz="0" w:space="0" w:color="auto"/>
        <w:right w:val="none" w:sz="0" w:space="0" w:color="auto"/>
      </w:divBdr>
    </w:div>
    <w:div w:id="902443773">
      <w:bodyDiv w:val="1"/>
      <w:marLeft w:val="0"/>
      <w:marRight w:val="0"/>
      <w:marTop w:val="0"/>
      <w:marBottom w:val="0"/>
      <w:divBdr>
        <w:top w:val="none" w:sz="0" w:space="0" w:color="auto"/>
        <w:left w:val="none" w:sz="0" w:space="0" w:color="auto"/>
        <w:bottom w:val="none" w:sz="0" w:space="0" w:color="auto"/>
        <w:right w:val="none" w:sz="0" w:space="0" w:color="auto"/>
      </w:divBdr>
    </w:div>
    <w:div w:id="968316817">
      <w:bodyDiv w:val="1"/>
      <w:marLeft w:val="0"/>
      <w:marRight w:val="0"/>
      <w:marTop w:val="0"/>
      <w:marBottom w:val="0"/>
      <w:divBdr>
        <w:top w:val="none" w:sz="0" w:space="0" w:color="auto"/>
        <w:left w:val="none" w:sz="0" w:space="0" w:color="auto"/>
        <w:bottom w:val="none" w:sz="0" w:space="0" w:color="auto"/>
        <w:right w:val="none" w:sz="0" w:space="0" w:color="auto"/>
      </w:divBdr>
    </w:div>
    <w:div w:id="1086221230">
      <w:bodyDiv w:val="1"/>
      <w:marLeft w:val="0"/>
      <w:marRight w:val="0"/>
      <w:marTop w:val="0"/>
      <w:marBottom w:val="0"/>
      <w:divBdr>
        <w:top w:val="none" w:sz="0" w:space="0" w:color="auto"/>
        <w:left w:val="none" w:sz="0" w:space="0" w:color="auto"/>
        <w:bottom w:val="none" w:sz="0" w:space="0" w:color="auto"/>
        <w:right w:val="none" w:sz="0" w:space="0" w:color="auto"/>
      </w:divBdr>
    </w:div>
    <w:div w:id="1376662456">
      <w:bodyDiv w:val="1"/>
      <w:marLeft w:val="0"/>
      <w:marRight w:val="0"/>
      <w:marTop w:val="0"/>
      <w:marBottom w:val="0"/>
      <w:divBdr>
        <w:top w:val="none" w:sz="0" w:space="0" w:color="auto"/>
        <w:left w:val="none" w:sz="0" w:space="0" w:color="auto"/>
        <w:bottom w:val="none" w:sz="0" w:space="0" w:color="auto"/>
        <w:right w:val="none" w:sz="0" w:space="0" w:color="auto"/>
      </w:divBdr>
    </w:div>
    <w:div w:id="1412005649">
      <w:bodyDiv w:val="1"/>
      <w:marLeft w:val="0"/>
      <w:marRight w:val="0"/>
      <w:marTop w:val="0"/>
      <w:marBottom w:val="0"/>
      <w:divBdr>
        <w:top w:val="none" w:sz="0" w:space="0" w:color="auto"/>
        <w:left w:val="none" w:sz="0" w:space="0" w:color="auto"/>
        <w:bottom w:val="none" w:sz="0" w:space="0" w:color="auto"/>
        <w:right w:val="none" w:sz="0" w:space="0" w:color="auto"/>
      </w:divBdr>
    </w:div>
    <w:div w:id="1535582194">
      <w:bodyDiv w:val="1"/>
      <w:marLeft w:val="0"/>
      <w:marRight w:val="0"/>
      <w:marTop w:val="0"/>
      <w:marBottom w:val="0"/>
      <w:divBdr>
        <w:top w:val="none" w:sz="0" w:space="0" w:color="auto"/>
        <w:left w:val="none" w:sz="0" w:space="0" w:color="auto"/>
        <w:bottom w:val="none" w:sz="0" w:space="0" w:color="auto"/>
        <w:right w:val="none" w:sz="0" w:space="0" w:color="auto"/>
      </w:divBdr>
    </w:div>
    <w:div w:id="1561014717">
      <w:bodyDiv w:val="1"/>
      <w:marLeft w:val="0"/>
      <w:marRight w:val="0"/>
      <w:marTop w:val="0"/>
      <w:marBottom w:val="0"/>
      <w:divBdr>
        <w:top w:val="none" w:sz="0" w:space="0" w:color="auto"/>
        <w:left w:val="none" w:sz="0" w:space="0" w:color="auto"/>
        <w:bottom w:val="none" w:sz="0" w:space="0" w:color="auto"/>
        <w:right w:val="none" w:sz="0" w:space="0" w:color="auto"/>
      </w:divBdr>
    </w:div>
    <w:div w:id="1651517279">
      <w:bodyDiv w:val="1"/>
      <w:marLeft w:val="0"/>
      <w:marRight w:val="0"/>
      <w:marTop w:val="0"/>
      <w:marBottom w:val="0"/>
      <w:divBdr>
        <w:top w:val="none" w:sz="0" w:space="0" w:color="auto"/>
        <w:left w:val="none" w:sz="0" w:space="0" w:color="auto"/>
        <w:bottom w:val="none" w:sz="0" w:space="0" w:color="auto"/>
        <w:right w:val="none" w:sz="0" w:space="0" w:color="auto"/>
      </w:divBdr>
    </w:div>
    <w:div w:id="1726877115">
      <w:bodyDiv w:val="1"/>
      <w:marLeft w:val="0"/>
      <w:marRight w:val="0"/>
      <w:marTop w:val="0"/>
      <w:marBottom w:val="0"/>
      <w:divBdr>
        <w:top w:val="none" w:sz="0" w:space="0" w:color="auto"/>
        <w:left w:val="none" w:sz="0" w:space="0" w:color="auto"/>
        <w:bottom w:val="none" w:sz="0" w:space="0" w:color="auto"/>
        <w:right w:val="none" w:sz="0" w:space="0" w:color="auto"/>
      </w:divBdr>
    </w:div>
    <w:div w:id="1739550876">
      <w:bodyDiv w:val="1"/>
      <w:marLeft w:val="0"/>
      <w:marRight w:val="0"/>
      <w:marTop w:val="0"/>
      <w:marBottom w:val="0"/>
      <w:divBdr>
        <w:top w:val="none" w:sz="0" w:space="0" w:color="auto"/>
        <w:left w:val="none" w:sz="0" w:space="0" w:color="auto"/>
        <w:bottom w:val="none" w:sz="0" w:space="0" w:color="auto"/>
        <w:right w:val="none" w:sz="0" w:space="0" w:color="auto"/>
      </w:divBdr>
    </w:div>
    <w:div w:id="1901210929">
      <w:bodyDiv w:val="1"/>
      <w:marLeft w:val="0"/>
      <w:marRight w:val="0"/>
      <w:marTop w:val="0"/>
      <w:marBottom w:val="0"/>
      <w:divBdr>
        <w:top w:val="none" w:sz="0" w:space="0" w:color="auto"/>
        <w:left w:val="none" w:sz="0" w:space="0" w:color="auto"/>
        <w:bottom w:val="none" w:sz="0" w:space="0" w:color="auto"/>
        <w:right w:val="none" w:sz="0" w:space="0" w:color="auto"/>
      </w:divBdr>
    </w:div>
    <w:div w:id="1923374371">
      <w:bodyDiv w:val="1"/>
      <w:marLeft w:val="0"/>
      <w:marRight w:val="0"/>
      <w:marTop w:val="0"/>
      <w:marBottom w:val="0"/>
      <w:divBdr>
        <w:top w:val="none" w:sz="0" w:space="0" w:color="auto"/>
        <w:left w:val="none" w:sz="0" w:space="0" w:color="auto"/>
        <w:bottom w:val="none" w:sz="0" w:space="0" w:color="auto"/>
        <w:right w:val="none" w:sz="0" w:space="0" w:color="auto"/>
      </w:divBdr>
    </w:div>
    <w:div w:id="1988900351">
      <w:bodyDiv w:val="1"/>
      <w:marLeft w:val="0"/>
      <w:marRight w:val="0"/>
      <w:marTop w:val="0"/>
      <w:marBottom w:val="0"/>
      <w:divBdr>
        <w:top w:val="none" w:sz="0" w:space="0" w:color="auto"/>
        <w:left w:val="none" w:sz="0" w:space="0" w:color="auto"/>
        <w:bottom w:val="none" w:sz="0" w:space="0" w:color="auto"/>
        <w:right w:val="none" w:sz="0" w:space="0" w:color="auto"/>
      </w:divBdr>
    </w:div>
    <w:div w:id="2016611629">
      <w:bodyDiv w:val="1"/>
      <w:marLeft w:val="0"/>
      <w:marRight w:val="0"/>
      <w:marTop w:val="0"/>
      <w:marBottom w:val="0"/>
      <w:divBdr>
        <w:top w:val="none" w:sz="0" w:space="0" w:color="auto"/>
        <w:left w:val="none" w:sz="0" w:space="0" w:color="auto"/>
        <w:bottom w:val="none" w:sz="0" w:space="0" w:color="auto"/>
        <w:right w:val="none" w:sz="0" w:space="0" w:color="auto"/>
      </w:divBdr>
    </w:div>
    <w:div w:id="21276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065D-2A94-4425-95E4-B3D11DB0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25</Pages>
  <Words>6489</Words>
  <Characters>35691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6</cp:revision>
  <cp:lastPrinted>2022-06-14T21:33:00Z</cp:lastPrinted>
  <dcterms:created xsi:type="dcterms:W3CDTF">2026-02-16T21:44:00Z</dcterms:created>
  <dcterms:modified xsi:type="dcterms:W3CDTF">2026-02-17T19:22:00Z</dcterms:modified>
</cp:coreProperties>
</file>